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202500187298005711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15.09.2025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0373200022225001693</w:t>
      </w:r>
    </w:p>
    <w:p>
      <w:r>
        <w:rPr>
          <w:b/>
        </w:rPr>
        <w:t xml:space="preserve">Заказчик: </w:t>
      </w:r>
      <w:r>
        <w:t>ГБУЗ города Москвы «Московский клинический научно-практический центр имени А.С. Логинова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«Русмед»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https://zakupki.gov.ru/epz/complaint/card/complaint-information.html?complaintNumber=202500187298005711</w:t>
      </w:r>
    </w:p>
    <w:p/>
    <w:p>
      <w:pPr>
        <w:pStyle w:val="Heading1"/>
      </w:pPr>
      <w:r>
        <w:t>Решение</w:t>
      </w:r>
    </w:p>
    <w:p>
      <w:r>
        <w:t>ГБУЗ МКНЦ им. А.С. Логинова ДЗМ</w:t>
        <w:br/>
        <w:t>a.isaev@mknc.ru</w:t>
        <w:br/>
        <w:t>ООО «РУСМЕД»</w:t>
        <w:br/>
        <w:t>rus@nikofarmperm.ru</w:t>
        <w:br/>
        <w:t>АО «ЕЭТП»</w:t>
        <w:br/>
        <w:t>ko@roseltorg.ru</w:t>
        <w:br/>
        <w:t>РЕШЕНИЕ</w:t>
        <w:br/>
        <w:t>по делу № 077/06/106-11558/2025 о нарушении</w:t>
        <w:br/>
        <w:t>законодательства о контрактной системе</w:t>
        <w:br/>
        <w:t>15.09.2025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представителя:</w:t>
        <w:br/>
        <w:t>ГБУЗ МКНЦ им. А.С. Логинова ДЗМ: Е.Н. Николаева (по доверенности №</w:t>
        <w:br/>
        <w:t>83/24 от 08.10.2024);</w:t>
        <w:br/>
        <w:t>в отсутствие представителей ООО «РУСМЕД» , о времени и порядке заседания</w:t>
        <w:br/>
        <w:t>Комиссии Управления уведомлены надлежащим образом посредством функционала</w:t>
        <w:br/>
        <w:t>Единой информационной системы ,</w:t>
        <w:br/>
        <w:t>рассмотрев жалобу ООО «РУСМЕД» (далее — Заявитель) на действия</w:t>
        <w:br/>
        <w:t>ГБУЗ «МКНЦ имени А.С. Логинова ДЗМ» (далее - Заказчик) при проведении</w:t>
        <w:br/>
        <w:t>электронного аукциона на право заключения государственного контракта на</w:t>
        <w:br/>
        <w:t>поставку расходных материалов для ЦПМ (Этап 7) в 2025 году для нужд ГБУЗ</w:t>
        <w:br/>
        <w:t>«МКНЦ имени А.С. Логинова ДЗМ» (Закупка № 0373200022225001693) (далее –</w:t>
        <w:br/>
        <w:t>аукцион) в соответствии с Федеральным законом от 05.04.2013 №44-ФЗ «О</w:t>
        <w:br/>
        <w:t>2025-42553</w:t>
        <w:br/>
        <w:t>2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электронного аукциона.</w:t>
        <w:br/>
        <w:t>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 системе.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Согласно п.1 ч.2 ст.42 Закона о контрактной системе извещение об</w:t>
        <w:br/>
        <w:t>осуществлении закупки должно содержать описание объекта закупки в</w:t>
        <w:br/>
        <w:t>соответствии со ст. 33 Закона о контрактной системе.</w:t>
        <w:br/>
        <w:t>П.1, п.2 ч.1 ст.33 Закона о контрактной системе установлено, что Заказчик в</w:t>
        <w:br/>
        <w:t>случаях, предусмотренных Законом о контрактной системе, при описании объекта</w:t>
      </w:r>
    </w:p>
    <w:p>
      <w:r>
        <w:t>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2025-42553</w:t>
        <w:br/>
        <w:t>3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  <w:br/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</w:r>
    </w:p>
    <w:p>
      <w:r>
        <w:t>обозначения и терминология, в таком описании должно содержаться обоснование</w:t>
        <w:br/>
        <w:t>необходимости использования других показателей, требований, условных</w:t>
        <w:br/>
        <w:t>обозначений и терминологии.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 1 ст. 33 Закона о контрактной</w:t>
        <w:br/>
        <w:t>системе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Заявитель в составе жалобы указывает, что описанию объекта закупки по п. 4</w:t>
        <w:br/>
        <w:t>«Ванночки для реагентов на 60 мл» соответствует товар единственного</w:t>
        <w:br/>
        <w:t>производителя, а именно: «Станция дозирующая автоматическая Microlab STARlet</w:t>
        <w:br/>
        <w:t>с принадлежностями», «Гамильтон Бонадуц AГ», Швейцария (регистрационное</w:t>
        <w:br/>
        <w:t>удостоверение № РЗН 2018/6981 от 04.09.2018).</w:t>
        <w:br/>
        <w:t>При этом в обосновании своей позиции Заявитель в составе жалобы</w:t>
        <w:br/>
        <w:t>указывает на то, что товар иного производителя не позволяет предложить к</w:t>
        <w:br/>
        <w:t>поставке следующее требование описания объекта закупки: «Штрих-коды,</w:t>
        <w:br/>
        <w:t>распознаваемые программным обеспечением станцией дозирующей</w:t>
        <w:br/>
        <w:t>автоматической Microlab STARlet – наличие».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у</w:t>
        <w:br/>
        <w:t>Заказчика в эксплуатации находится оборудование «Станция дозирующая</w:t>
        <w:br/>
        <w:t>автоматическая Microlab STARlet» (регистрационное удостоверение № РЗН</w:t>
        <w:br/>
        <w:t>2018/6981 от 04.09.2018).</w:t>
        <w:br/>
        <w:t>Заказчиком с ориентацией на требования к штрих-кодам описанных ванночек,</w:t>
        <w:br/>
        <w:t>подготовлено соответствующее описание объекта закупки с требованием о</w:t>
        <w:br/>
        <w:t>распознавании программным обеспечением оборудования, имеющегося у</w:t>
        <w:br/>
        <w:t>Заказчика оборудования.</w:t>
        <w:br/>
        <w:t>Таким образом, любой производитель может производить требуемые</w:t>
        <w:br/>
        <w:t>Заказчиком ванночки 60 мл и штрих-коды к ним.</w:t>
        <w:br/>
        <w:t>Заказчик при описании обжалуемой позиции использовал характеристики</w:t>
        <w:br/>
        <w:t>2025-42553</w:t>
        <w:br/>
        <w:t>4</w:t>
        <w:br/>
        <w:t>товара, указанные в инструкции к оборудованию « Станция дозирующая</w:t>
        <w:br/>
        <w:t>автоматическая Microlab STARlet», размещенной в составе регистрационного</w:t>
      </w:r>
    </w:p>
    <w:p>
      <w:r>
        <w:t>удостоверения № РЗН 2018/6981 от 04.09.2018.</w:t>
        <w:br/>
        <w:t>Исходя из изложенного, товар только с такими характеристиками отвечает</w:t>
        <w:br/>
        <w:t>потребностям Заказчика.</w:t>
        <w:br/>
        <w:t>В свою очередь Комиссия Управления отмечает, что ст.33 Закона о контрактной</w:t>
        <w:br/>
        <w:t>систем содержит в себе закрытый перечень случаев, когда Заказчик вправе закупать</w:t>
        <w:br/>
        <w:t>товары конкретного производителя (пп. «б» - «г» п.1 ч.1 ст.33 Закона о контрактной</w:t>
        <w:br/>
        <w:t>системе), во всех остальных случаях, совокупности всех требований извещения, в</w:t>
        <w:br/>
        <w:t>том числе и всем требованиям описания объекта закупки, должны соответствовать</w:t>
        <w:br/>
        <w:t>товары как минимум двух различных производителей.</w:t>
        <w:br/>
        <w:t>Кроме того, Комиссия Управления отмечает, что обязанность по</w:t>
        <w:br/>
        <w:t>формированию описания объекта закупки в соответствии с положениями ст.33</w:t>
        <w:br/>
        <w:t>Закона о контрактной системе возложена на Заказчика, ввиду чего именно Заказчик</w:t>
        <w:br/>
        <w:t>при формировании извещения об осуществлении закупочной процедуры должен</w:t>
        <w:br/>
        <w:t>обладать документальным подтверждением соответствие описания объекта</w:t>
        <w:br/>
        <w:t>закупки требованиям действующего законодательства.</w:t>
        <w:br/>
        <w:t>Комиссия Управления отмечает, что если у Заказчика имеются определенные</w:t>
        <w:br/>
        <w:t>обоснованные потребности в получении тех или иных товаров, он в праве</w:t>
        <w:br/>
        <w:t>устанавливать соответствующие требования к товарам, но таким образом, чтобы</w:t>
        <w:br/>
        <w:t>такие требования не ограничивали количество участников закупки, и в составе</w:t>
        <w:br/>
        <w:t>одного лота не закупались наряду с товарами, производимыми неограниченным</w:t>
        <w:br/>
        <w:t>кругом производителей уникальные товары единственного производителя,</w:t>
        <w:br/>
        <w:t>отсутствующие в свободном доступе, в том числе для приобретения которых</w:t>
        <w:br/>
        <w:t>необходимо заключать определенные договоры и соглашения с производителем</w:t>
        <w:br/>
        <w:t>оборудования.</w:t>
        <w:br/>
        <w:t>При этом на заседании Комиссии Управления представителем Заказчика не</w:t>
        <w:br/>
        <w:t>представлены документы и сведения, указывающие на возможность поставки</w:t>
        <w:br/>
        <w:t>требуемого товара иного производителя, кроме «Гамильтон Бонадуц AГ».</w:t>
        <w:br/>
        <w:t>Кроме того, в рамках рассмотрения данной жалобы Заказчиком не</w:t>
        <w:br/>
        <w:t>представлено документов и сведений, подтверждающих, что в данном случае</w:t>
        <w:br/>
        <w:t>применимы условия отраженные в пп. «б» - «г» п.1 ч.1 ст.33 Закона о контрактной</w:t>
        <w:br/>
        <w:t>системе.</w:t>
        <w:br/>
        <w:t>На основании вышеизложенного, Комиссия Управления приходит к выводу</w:t>
        <w:br/>
        <w:t>о нарушении Заказчиком п.1 ч.1 ст.33 Закона о контрактной системе, что содержит</w:t>
        <w:br/>
        <w:t>признаки состава административного правонарушения, ответственность за которое</w:t>
      </w:r>
    </w:p>
    <w:p>
      <w:r>
        <w:t>предусмотрена ч. 6 ст. 7.30.1 Кодекса Российской Федерации об административных</w:t>
        <w:br/>
        <w:t>правонарушениях.</w:t>
        <w:br/>
        <w:t>Вместе с тем в ходе проведения внеплановой проверки Комиссией Управления</w:t>
        <w:br/>
        <w:t>установлено следующее.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информацию (при наличии), предусмотренную правилами использования каталога</w:t>
        <w:br/>
        <w:t>товаров, работ, услуг для обеспечения государственных и муниципальных нужд,</w:t>
        <w:br/>
        <w:t>2025-42553</w:t>
        <w:br/>
        <w:t>5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На основании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Законом о контрактной системе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пп.«б» - «г» и «е» -</w:t>
      </w:r>
    </w:p>
    <w:p>
      <w:r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</w:t>
        <w:br/>
        <w:t>услуги в соответствии с требованиями ст.33 Закона о контрактной системе. При</w:t>
        <w:br/>
        <w:t>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2025-42553</w:t>
        <w:br/>
        <w:t>6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Комиссия Управления отмечает, что исходя из вышеизложенного, во</w:t>
        <w:br/>
        <w:t>исполнение требований п.5 ч.1 ст.42 Закона о контрактной системе и Правил</w:t>
        <w:br/>
        <w:t>использования КТРУ , заказчикам надлежит отражать в извещении</w:t>
        <w:br/>
        <w:t>характеристики закупаемых товаров и услуг в разделе «Характеристики товара,</w:t>
        <w:br/>
        <w:t>работы, услуги» с указанием в соответствующих графах наименования</w:t>
        <w:br/>
        <w:t>характеристик, значение характеристик, единицы измерения характеристик,</w:t>
        <w:br/>
        <w:t>инструкции по заполнению характеристик в заявке.</w:t>
        <w:br/>
        <w:t>Комиссией Управления установлено, что структурированная форма</w:t>
        <w:br/>
        <w:t>извещения содержит в себе требования к закупаемому товару, которые указаны,</w:t>
        <w:br/>
        <w:t>следующим образом, в частности по п. 4 «Ванночки для реагентов на 60 мл»,</w:t>
        <w:br/>
        <w:t>Идентификатор: 190578358, ОКПД2 32.50.13.190:</w:t>
        <w:br/>
        <w:t>Характеристики товара, работы, услуги ( Ванночки для реагентов на 60 мл):</w:t>
        <w:br/>
        <w:t>Наименование характеристики: Функциональные характеристики</w:t>
        <w:br/>
        <w:t>Значение характеристики: Объем, мл - 60 Материал ванночки (контейнера)</w:t>
        <w:br/>
        <w:t>для реагентов - полипропилен Количество в упаковке, шт - &gt;= 25.</w:t>
        <w:br/>
        <w:t>Сертифицированы на отсутствие человеческой ДНК, ДНК-аз, РНК-аз и ПЦР-</w:t>
        <w:br/>
        <w:t>ингибиторов - соответствие Штрих-коды, распознаваемые программным</w:t>
      </w:r>
    </w:p>
    <w:p>
      <w:r>
        <w:t>обеспечением станцией дозирующей автоматической Microlab STARlet - наличие</w:t>
        <w:br/>
        <w:t>Совместимость со станцией дозирующей автоматической Microlab STARlet,</w:t>
        <w:br/>
        <w:t>имеющейся в наличии у Заказчика — соответствие.</w:t>
        <w:br/>
        <w:t>Комиссия Управления отмечает, что в силу п.7 Правил использования КТРУ ,</w:t>
        <w:br/>
        <w:t>во исполнение требований п.5 ч.1 ст.42 Закона о контрактной системе и Правил</w:t>
        <w:br/>
        <w:t>использования КТРУ , заказчикам надлежит отражать в извещении характеристики</w:t>
        <w:br/>
        <w:t>закупаемых товаров и услуг в разделе «Характеристики товара, работы, услуги» с</w:t>
        <w:br/>
        <w:t>указанием в соответствующих графах наименования характеристик, значение</w:t>
        <w:br/>
        <w:t>характеристик, единицы измерения характеристик, инструкции по заполнению</w:t>
        <w:br/>
        <w:t>характеристик в заявке.</w:t>
        <w:br/>
        <w:t>В свою очередь, Комиссия Управления отмечает, что требования к</w:t>
        <w:br/>
        <w:t>характеристикам товара, указанные Заказчиком в структурированной форме</w:t>
        <w:br/>
        <w:t>извещения, размещены Заказчиком некорректно, так как в разделе «Значение</w:t>
        <w:br/>
        <w:t>характеристики » фактически указаны как необходимые Заказчику значения</w:t>
        <w:br/>
        <w:t>требуемых характеристик, так и наименование таких характеристик, единицы</w:t>
        <w:br/>
        <w:t>измерений характеристик.</w:t>
        <w:br/>
        <w:t>Таким образом, на основании имеющихся документов и сведений, Комиссия</w:t>
        <w:br/>
        <w:t>Управления приходит к выводу о нарушении Заказчиком положений ч.6 ст. 23, п.5</w:t>
        <w:br/>
        <w:t>ч.1 ст.42 Закона о контрактной системе при формировании описания объекта</w:t>
        <w:br/>
        <w:t>закупки, что также свидетельствует о наличии в действиях Заказчика признаков</w:t>
        <w:br/>
        <w:t>состава административного правонарушения, ответственность за которое</w:t>
        <w:br/>
        <w:t>предусмотрена ч. 5 ст. 7.30.1 Кодекса Российской Федерации об административных</w:t>
        <w:br/>
        <w:t>2025-42553</w:t>
        <w:br/>
        <w:t>7</w:t>
        <w:br/>
        <w:t>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Р Е Ш И Л А:</w:t>
        <w:br/>
        <w:t>1.Признать жалобу ООО «РУСМЕД» на действия ГБУЗ МКНЦ им. А.С.</w:t>
        <w:br/>
        <w:t>Логинова ДЗМ обоснованной.</w:t>
        <w:br/>
        <w:t>2.Признать в действиях Заказчика нарушение ч.6 ст. 23, п.1 ч.1 ст.33, п.5 ч.1</w:t>
        <w:br/>
        <w:t>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</w:t>
        <w:br/>
        <w:t>об 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</w:r>
    </w:p>
    <w:p>
      <w:r>
        <w:t>установленным гл. 24 АПК РФ.</w:t>
        <w:br/>
        <w:t>Председательствующий Д.С. Грешнева</w:t>
        <w:br/>
        <w:t>Члены комиссии: М.О. Мацнева</w:t>
        <w:br/>
        <w:t>О.А. Челнова</w:t>
        <w:br/>
        <w:t>Исп.Мацнева М.О.</w:t>
        <w:br/>
        <w:t>тел.8(495)784-75-05</w:t>
        <w:br/>
        <w:t>2025-42553</w:t>
      </w:r>
    </w:p>
    <w:p>
      <w:pPr>
        <w:pStyle w:val="Heading1"/>
      </w:pPr>
      <w:r>
        <w:t>Предписание</w:t>
      </w:r>
    </w:p>
    <w:p>
      <w:r>
        <w:t>ГБУЗ МКНЦ им. А.С. Логинова ДЗМ</w:t>
        <w:br/>
        <w:t>a.isaev@mknc.ru</w:t>
        <w:br/>
        <w:t>ООО «РУСМЕД»</w:t>
        <w:br/>
        <w:t>rus@nikofarmperm.ru</w:t>
        <w:br/>
        <w:t>АО «ЕЭТП»</w:t>
        <w:br/>
        <w:t>ko@roseltorg.ru</w:t>
        <w:br/>
        <w:t>ПРЕДПИСАНИЕ</w:t>
        <w:br/>
        <w:t>по делу № 077/06/106-11558/2025 об устранении нарушений</w:t>
        <w:br/>
        <w:t>законодательства о контрактной системе</w:t>
        <w:br/>
        <w:t>15.09.2025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О.А. Челновой,</w:t>
        <w:br/>
        <w:t>на основании решения Комиссии от 15.09.2025 по делу № 077/06/106-</w:t>
        <w:br/>
        <w:t>11558/2025, по итогам рассмотрения жалобы ООО «РУСМЕД» (далее — Заявитель)</w:t>
        <w:br/>
        <w:t>на действия ГБУЗ «МКНЦ имени А.С. Логинова ДЗМ» (далее - Заказчик) при</w:t>
        <w:br/>
        <w:t>проведении электронного аукциона на право заключения государственного</w:t>
        <w:br/>
        <w:t>контракта на поставку расходных материалов для ЦПМ (Этап 7) в 2025 году для</w:t>
        <w:br/>
        <w:t>нужд ГБУЗ «МКНЦ имени А.С. Логинова ДЗМ» (Закупка № 0373200022225001693)</w:t>
        <w:br/>
        <w:t>(далее – 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2025-42555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</w:r>
    </w:p>
    <w:p>
      <w:r>
        <w:t>- привести извещение о проведении электронного аукциона в соответствие с</w:t>
        <w:br/>
        <w:t>требованиями Закона о контрактной системе и с учетом решения от 15.09.2025 по</w:t>
        <w:br/>
        <w:t>делу № 077/06/106-11558/2025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15.09.2025 по делу 077/06/106-11558/2025 .</w:t>
        <w:br/>
        <w:t>6. Заказчику, комиссии по осуществлению закупок в срок до 15.10.2025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2025-42555</w:t>
        <w:br/>
        <w:t>3</w:t>
        <w:br/>
        <w:t>электронной почте по адре 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</w:r>
    </w:p>
    <w:p>
      <w:r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15.09.2025 по делу № 077/06/106-11558/2025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 М.О. Мацнева</w:t>
        <w:br/>
        <w:t>О.А. Челнова</w:t>
        <w:br/>
        <w:t>Исп.Мацнева М.О.</w:t>
        <w:br/>
        <w:t>тел.8(495)784-75-05</w:t>
        <w:br/>
        <w:t>2025-42555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