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202500187298006908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10.11.2025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0348200085825000039</w:t>
      </w:r>
    </w:p>
    <w:p>
      <w:r>
        <w:rPr>
          <w:b/>
        </w:rPr>
        <w:t xml:space="preserve">Заказчик: </w:t>
      </w:r>
      <w:r>
        <w:t>Государственное бюджетное профессиональное образовательное учреждение Московской области «Физико-технический колледж»</w:t>
      </w:r>
    </w:p>
    <w:p>
      <w:r>
        <w:rPr>
          <w:b/>
        </w:rPr>
        <w:t xml:space="preserve">Заявитель: </w:t>
      </w:r>
      <w:r>
        <w:t>ООО «Частное охранное предприятие »Фактум секьюрити"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https://zakupki.gov.ru/epz/complaint/card/complaint-information.html?complaintNumber=202500187298006908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«Физико-технический колледж»</w:t>
      </w:r>
    </w:p>
    <w:p>
      <w:r>
        <w:t>hvatova.ev@phystech.pro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«ЧОП «Фактум Секьюрити»</w:t>
      </w:r>
    </w:p>
    <w:p>
      <w:r>
        <w:t>factum-s@mail.ru</w:t>
      </w:r>
    </w:p>
    <w:p>
      <w:r>
        <w:t>РЕШЕНИЕ</w:t>
      </w:r>
    </w:p>
    <w:p>
      <w:r>
        <w:t>по делу № 050/06/105-40933/2025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12.11.2025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«ЧОП «Фактум Секьюрити» (далее – Заявитель) на действия (бездействие) Государственного бюджетного профессионального образовательного учреждения Московской области «Физико-технический колледж» (далее – Заказчик)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оказание охранных услуг по обеспечению комплекса мер, направленных на защиту материального имущества, обеспечение внутриобъектового и пропускного режима для нужд ГБПОУ МО «Физтех-колледж» в 2026 году. (извещение № 0348200085825000039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Конкурсной комиссии при проведении Заказчиком, Оператором электронной площадки Конкурса.</w:t>
      </w:r>
    </w:p>
    <w:p>
      <w:r>
        <w:t>По мнению Заявителя его права и законные интересы нарушены действиями Конкурсной комиссии в части проведения процедуры рассмотрения и оценки вторых частей заявок ненадлежащим образом.</w:t>
      </w:r>
    </w:p>
    <w:p>
      <w:r>
        <w:t>В соответствии с извещением об осуществлении закупки, протоколами, составленными при определении поставщика (подрядчика, исполнителя):</w:t>
      </w:r>
    </w:p>
    <w:p>
      <w:r>
        <w:t>1) извещение о проведении Конкурса размещено 10.10.2025;</w:t>
      </w:r>
    </w:p>
    <w:p>
      <w:r>
        <w:t>2) начальная (максимальная) цена контракта – 14 132 074,96 руб.;</w:t>
      </w:r>
    </w:p>
    <w:p>
      <w:r>
        <w:t>3) дата окончания подачи заявок – 27.10.2025;</w:t>
      </w:r>
    </w:p>
    <w:p>
      <w:r>
        <w:t>4) на участие в Конкурсе подано 15 заявок от участников закупки, признанные соответствующими требованиям извещения о проведении Конкурса;</w:t>
      </w:r>
    </w:p>
    <w:p>
      <w:r>
        <w:t>5) участник закупки с идентификационным номером «119777445» признан победителем Конкурса (далее - Победитель)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На основании части 13 статьи 48 Закона о контрактной системе установлено, что протокол рассмотрения и оценки вторых частей заявок на участие в закупке должен содержать:</w:t>
      </w:r>
    </w:p>
    <w:p>
      <w:r>
        <w:t>1) дату рассмотрения и оценки вторых частей заявок на участие в закупке, идентификационные номера таких заявок;</w:t>
      </w:r>
    </w:p>
    <w:p>
      <w:r>
        <w:t>2)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Закона о контрактной системе, извещения об осуществлении закупки, которым не соответствует такая заявка, положений заявки на участие в закупке, которые не соответствуют настоящему Федеральному закону, извещению об осуществлении закупки;</w:t>
      </w:r>
    </w:p>
    <w:p>
      <w:r>
        <w:t>3) присвоенные вторым частям заявок на участие в закупке, признанным соответствующими извещению об осуществлении закупки, значения по критерию, предусмотренному пунктом 4 части 1 статьи 32 Закона о контрактной системе (в случае установления такого критерия в извещении об осуществлении закупки);</w:t>
      </w:r>
    </w:p>
    <w:p>
      <w:r>
        <w:t>4) информацию о решении каждого члена комиссии по осуществлению закупок, принимавшего участие в рассмотрении и оценке вторых частей заявок на участие в закупке, в отношении каждой второй части заявки на участие в закупке;</w:t>
      </w:r>
    </w:p>
    <w:p>
      <w:r>
        <w:t>5) информацию о признании определения поставщика (подрядчика, исполнителя) несостоявшимся в случаях, предусмотренных пунктами 2 и 4 части 1 статьи 52 Закона о контрактной системе.</w:t>
      </w:r>
    </w:p>
    <w:p>
      <w:r>
        <w:t>1. Согласно доводу жалобы Заявителя, Заказчиком ненадлежащим образом сформированы протоколы рассмотрения и оценки вторых частей заявок и подведения итогов определения поставщика (подрядчика, исполнителя).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30.10.2025 №ПРОII1 (далее – Протокол рассмотрения и оценки вторых частей заявок) заявке Заявителя с идентификационным номером «119862137» присвоено 9,19 баллов по нестоимостному критерию «Квалификация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уровня» (далее – Квалификация участников закупки) и установлено в том числе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Идентификационный номер заявки, присвоенный оператором</w:t>
            </w:r>
          </w:p>
        </w:tc>
        <w:tc>
          <w:tcPr>
            <w:tcW w:type="dxa" w:w="1234"/>
          </w:tcPr>
          <w:p>
            <w:r>
              <w:t>Данные участников</w:t>
              <w:br/>
              <w:t>(сведения, представленные участником)</w:t>
            </w:r>
          </w:p>
        </w:tc>
        <w:tc>
          <w:tcPr>
            <w:tcW w:type="dxa" w:w="1234"/>
          </w:tcPr>
          <w:p>
            <w:r>
              <w:t>Данные принятые к оценке</w:t>
            </w:r>
          </w:p>
        </w:tc>
        <w:tc>
          <w:tcPr>
            <w:tcW w:type="dxa" w:w="1234"/>
          </w:tcPr>
          <w:p>
            <w:r>
              <w:t>Данные участников</w:t>
              <w:br/>
              <w:t>(сведения, представленные участником)</w:t>
            </w:r>
          </w:p>
        </w:tc>
        <w:tc>
          <w:tcPr>
            <w:tcW w:type="dxa" w:w="1234"/>
          </w:tcPr>
          <w:p>
            <w:r>
              <w:t>Данные принятые к оценке</w:t>
            </w:r>
          </w:p>
        </w:tc>
        <w:tc>
          <w:tcPr>
            <w:tcW w:type="dxa" w:w="1234"/>
          </w:tcPr>
          <w:p>
            <w:r>
              <w:t>Кол-во баллов</w:t>
            </w:r>
          </w:p>
        </w:tc>
        <w:tc>
          <w:tcPr>
            <w:tcW w:type="dxa" w:w="1234"/>
          </w:tcPr>
          <w:p>
            <w:r>
              <w:t>Рейтинг заявки по показателю</w:t>
              <w:br/>
              <w:t>(с учетом коэффициента значимости)</w:t>
            </w:r>
          </w:p>
        </w:tc>
      </w:tr>
      <w:tr>
        <w:tc>
          <w:tcPr>
            <w:tcW w:type="dxa" w:w="1234"/>
          </w:tcPr>
          <w:p>
            <w:r>
              <w:t>119862137</w:t>
            </w:r>
          </w:p>
        </w:tc>
        <w:tc>
          <w:tcPr>
            <w:tcW w:type="dxa" w:w="1234"/>
          </w:tcPr>
          <w:p>
            <w:r>
              <w:t>809 201 432,24</w:t>
            </w:r>
          </w:p>
        </w:tc>
        <w:tc>
          <w:tcPr>
            <w:tcW w:type="dxa" w:w="1234"/>
          </w:tcPr>
          <w:p>
            <w:r>
              <w:t>809 201 432,24</w:t>
            </w:r>
          </w:p>
        </w:tc>
        <w:tc>
          <w:tcPr>
            <w:tcW w:type="dxa" w:w="1234"/>
          </w:tcPr>
          <w:p>
            <w:r>
              <w:t>63,00</w:t>
            </w:r>
          </w:p>
        </w:tc>
        <w:tc>
          <w:tcPr>
            <w:tcW w:type="dxa" w:w="1234"/>
          </w:tcPr>
          <w:p>
            <w:r>
              <w:t>63,00</w:t>
            </w:r>
          </w:p>
        </w:tc>
        <w:tc>
          <w:tcPr>
            <w:tcW w:type="dxa" w:w="1234"/>
          </w:tcPr>
          <w:p>
            <w:r>
              <w:t>15,31</w:t>
            </w:r>
          </w:p>
        </w:tc>
        <w:tc>
          <w:tcPr>
            <w:tcW w:type="dxa" w:w="1234"/>
          </w:tcPr>
          <w:p>
            <w:r>
              <w:t>9,19</w:t>
            </w:r>
          </w:p>
        </w:tc>
      </w:tr>
    </w:tbl>
    <w:p>
      <w:r>
        <w:t>На заседании Комиссии установлено, что Заказчиком в Критериях оценки заявок на участие в Конкурсе по детализирующим показателям «общая цена исполненных участником закупки договоров», «общее количество исполненных участником закупки договоров» показателя «наличие у участников закупки опыта работы, связанного с предметом контракта» в рамках критерия «Квалификация участников закупки» Заказчиком установлено, в том числе следующее:</w:t>
      </w:r>
    </w:p>
    <w:p>
      <w:r>
        <w:t>«Подпункт «а» пункта 28 Положения</w:t>
      </w:r>
    </w:p>
    <w:p>
      <w:r>
        <w:t>Требования к документам для оценки показателя:</w:t>
      </w:r>
    </w:p>
    <w:p>
      <w:r>
        <w:t>Предмет договора (договоров), оцениваемого по детализирующему показателю, сопоставимый с предметом контракта, заключаемого по результатам определения поставщика (подрядчика, исполнителя):</w:t>
      </w:r>
    </w:p>
    <w:p>
      <w:r>
        <w:t>- наличие опыта исполнения участником закупки договора, предусматривающего оказание услуг по обеспечению охраны объектов (территорий).</w:t>
      </w:r>
    </w:p>
    <w:p>
      <w:r>
        <w:t>Перечень документов, подтверждающих наличие у участника закупки опыта оказания услуг</w:t>
      </w:r>
    </w:p>
    <w:p>
      <w:r>
        <w:t>1. исполненный договор (договоры),</w:t>
      </w:r>
    </w:p>
    <w:p>
      <w:r>
        <w:t>2. акт (акты) приемки оказанных услуг, составленные при исполнении такого договора (договоров);</w:t>
      </w:r>
    </w:p>
    <w:p>
      <w:r>
        <w:t>Последний акт, составленный при исполнении договора, должен быть подписан не ранее чем за 5 лет до даты окончания срока подачи заявок;</w:t>
      </w:r>
    </w:p>
    <w:p>
      <w:r>
        <w:t>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 №44-ФЗ и 223-ФЗ;</w:t>
      </w:r>
    </w:p>
    <w:p>
      <w:r>
        <w:t>Документы направляются участником закупки в форме электронных документов или в форме электронных образов бумажных документов;</w:t>
      </w:r>
    </w:p>
    <w:p>
      <w:r>
        <w:t>Каждый контракт/договор должен быть исполнен участником закупки в полном объеме в соответствии с условиями, установленными в таком контракте/договоре.</w:t>
      </w:r>
    </w:p>
    <w:p>
      <w:r>
        <w:t>При этом представленные документы должны быть в виде неповторяющихся, полно читаемых копий, на которых видны необходимые подписи и печати (при наличии).</w:t>
      </w:r>
    </w:p>
    <w:p>
      <w:r>
        <w:t>Оценке не подлежат контракты/договоры, услуги по которым продолжаются и/или не выполнены (являются незавершенными).</w:t>
      </w:r>
    </w:p>
    <w:p>
      <w:r>
        <w:t>Оцениваются представленные участником закупки контракты/договоры, которые приложены в составе заявки.</w:t>
      </w:r>
    </w:p>
    <w:p>
      <w:r>
        <w:t>Единица измерения: Рубль.</w:t>
      </w:r>
    </w:p>
    <w:p>
      <w:r>
        <w:t>Участник закупки вправе указать представленные в составе заявки контракты/договоры в рекомендованной форме «Сведения о представленных в составе заявки контрактах/договорах», приведенной в Приложении № 1».</w:t>
      </w:r>
    </w:p>
    <w:p>
      <w:r>
        <w:t>На заседании Комиссии установлено, что в составе заявки Заявителя по показателю «наличие у участников закупки опыта работы, связанного с предметом контракта» в рамках критерия «Квалификация участников закупки» представлено 93 контракта/договора на общую сумму 809 201 432,24 рублей.</w:t>
      </w:r>
    </w:p>
    <w:p>
      <w:r>
        <w:t>Вместе с тем, Заказчиком в Протоколе рассмотрения и оценки вторых частей заявок указано, что по детализирующему показателю «общее количество исполненных участником закупки договоров» Заявителем представлены сведения о 63 контрактов и договоров на сумму на общую сумму 809 201 432,24 рублей.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а также заявку Заявителя, Комиссия приходит к выводу, что действия заказчика в части формирования Протокола рассмотрения и оценки вторых частей заявок подобным образом противоречат положения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часть 13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Конкурсной комиссией ненадлежащим образом рассмотрены и приняты к оценке документы и сведения, представленные в составе заявок участников закупки.</w:t>
      </w:r>
    </w:p>
    <w:p>
      <w:r>
        <w:t>1) В соответствии с Протоколом рассмотрения и оценки вторых частей заявок заявке Победителя присвоено 59,86 баллов по нестоимостному критерию нестоимостному критерию «Квалификация участников закупки» и установлено в том числе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Идентификационный номер заявки, присвоенный оператором</w:t>
            </w:r>
          </w:p>
        </w:tc>
        <w:tc>
          <w:tcPr>
            <w:tcW w:type="dxa" w:w="1234"/>
          </w:tcPr>
          <w:p>
            <w:r>
              <w:t>Данные участников</w:t>
              <w:br/>
              <w:t>(сведения, представленные участником)</w:t>
            </w:r>
          </w:p>
        </w:tc>
        <w:tc>
          <w:tcPr>
            <w:tcW w:type="dxa" w:w="1234"/>
          </w:tcPr>
          <w:p>
            <w:r>
              <w:t>Данные принятые к оценке</w:t>
            </w:r>
          </w:p>
        </w:tc>
        <w:tc>
          <w:tcPr>
            <w:tcW w:type="dxa" w:w="1234"/>
          </w:tcPr>
          <w:p>
            <w:r>
              <w:t>Данные участников</w:t>
              <w:br/>
              <w:t>(сведения, представленные участником)</w:t>
            </w:r>
          </w:p>
        </w:tc>
        <w:tc>
          <w:tcPr>
            <w:tcW w:type="dxa" w:w="1234"/>
          </w:tcPr>
          <w:p>
            <w:r>
              <w:t>Данные принятые к оценке</w:t>
            </w:r>
          </w:p>
        </w:tc>
        <w:tc>
          <w:tcPr>
            <w:tcW w:type="dxa" w:w="1234"/>
          </w:tcPr>
          <w:p>
            <w:r>
              <w:t>Кол-во баллов</w:t>
            </w:r>
          </w:p>
        </w:tc>
        <w:tc>
          <w:tcPr>
            <w:tcW w:type="dxa" w:w="1234"/>
          </w:tcPr>
          <w:p>
            <w:r>
              <w:t>Рейтинг заявки по показателю</w:t>
              <w:br/>
              <w:t>(с учетом коэффициента значимости)</w:t>
            </w:r>
          </w:p>
        </w:tc>
      </w:tr>
      <w:tr>
        <w:tc>
          <w:tcPr>
            <w:tcW w:type="dxa" w:w="1234"/>
          </w:tcPr>
          <w:p>
            <w:r>
              <w:t>119777445</w:t>
            </w:r>
          </w:p>
        </w:tc>
        <w:tc>
          <w:tcPr>
            <w:tcW w:type="dxa" w:w="1234"/>
          </w:tcPr>
          <w:p>
            <w:r>
              <w:t>2 857 500 730,06</w:t>
            </w:r>
          </w:p>
        </w:tc>
        <w:tc>
          <w:tcPr>
            <w:tcW w:type="dxa" w:w="1234"/>
          </w:tcPr>
          <w:p>
            <w:r>
              <w:t>2 552 978 765,26</w:t>
            </w:r>
          </w:p>
        </w:tc>
        <w:tc>
          <w:tcPr>
            <w:tcW w:type="dxa" w:w="1234"/>
          </w:tcPr>
          <w:p>
            <w:r>
              <w:t>6 345,00</w:t>
            </w:r>
          </w:p>
        </w:tc>
        <w:tc>
          <w:tcPr>
            <w:tcW w:type="dxa" w:w="1234"/>
          </w:tcPr>
          <w:p>
            <w:r>
              <w:t>5 756,00</w:t>
            </w:r>
          </w:p>
        </w:tc>
        <w:tc>
          <w:tcPr>
            <w:tcW w:type="dxa" w:w="1234"/>
          </w:tcPr>
          <w:p>
            <w:r>
              <w:t>99,77</w:t>
            </w:r>
          </w:p>
        </w:tc>
        <w:tc>
          <w:tcPr>
            <w:tcW w:type="dxa" w:w="1234"/>
          </w:tcPr>
          <w:p>
            <w:r>
              <w:t>59,86</w:t>
            </w:r>
          </w:p>
        </w:tc>
      </w:tr>
    </w:tbl>
    <w:p>
      <w:r>
        <w:t>На заседании Комиссии установлено, что Заказчиком в Критериях оценки заявок на участие в Конкурсе по детализирующим показателям «общая цена исполненных участником закупки договоров», «общее количество исполненных участником закупки договоров» показателя «наличие у участников закупки опыта работы, связанного с предметом контракта» в рамках критерия «Квалификация участников закупки» Заказчиком установлено, в том числе следующее:</w:t>
      </w:r>
    </w:p>
    <w:p>
      <w:r>
        <w:t>«Подпункт «а» пункта 28 Положения</w:t>
      </w:r>
    </w:p>
    <w:p>
      <w:r>
        <w:t>Требования к документам для оценки показателя:</w:t>
      </w:r>
    </w:p>
    <w:p>
      <w:r>
        <w:t>Предмет договора (договоров), оцениваемого по детализирующему показателю, сопоставимый с предметом контракта, заключаемого по результатам определения поставщика (подрядчика, исполнителя):</w:t>
      </w:r>
    </w:p>
    <w:p>
      <w:r>
        <w:t>- наличие опыта исполнения участником закупки договора, предусматривающего оказание услуг по обеспечению охраны объектов (территорий).</w:t>
      </w:r>
    </w:p>
    <w:p>
      <w:r>
        <w:t>Перечень документов, подтверждающих наличие у участника закупки опыта оказания услуг</w:t>
      </w:r>
    </w:p>
    <w:p>
      <w:r>
        <w:t>1. исполненный договор (договоры),</w:t>
      </w:r>
    </w:p>
    <w:p>
      <w:r>
        <w:t>2. акт (акты) приемки оказанных услуг, составленные при исполнении такого договора (договоров);</w:t>
      </w:r>
    </w:p>
    <w:p>
      <w:r>
        <w:t>Последний акт, составленный при исполнении договора, должен быть подписан не ранее чем за 5 лет до даты окончания срока подачи заявок;</w:t>
      </w:r>
    </w:p>
    <w:p>
      <w:r>
        <w:t>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 №44-ФЗ и 223-ФЗ;</w:t>
      </w:r>
    </w:p>
    <w:p>
      <w:r>
        <w:t>Документы направляются участником закупки в форме электронных документов или в форме электронных образов бумажных документов;</w:t>
      </w:r>
    </w:p>
    <w:p>
      <w:r>
        <w:t>Каждый контракт/договор должен быть исполнен участником закупки в полном объеме в соответствии с условиями, установленными в таком контракте/договоре.</w:t>
      </w:r>
    </w:p>
    <w:p>
      <w:r>
        <w:t>При этом представленные документы должны быть в виде неповторяющихся, полно читаемых копий, на которых видны необходимые подписи и печати (при наличии).</w:t>
      </w:r>
    </w:p>
    <w:p>
      <w:r>
        <w:t>Оценке не подлежат контракты/договоры, услуги по которым продолжаются и/или не выполнены (являются незавершенными).</w:t>
      </w:r>
    </w:p>
    <w:p>
      <w:r>
        <w:t>Оцениваются представленные участником закупки контракты/договоры, которые приложены в составе заявки.</w:t>
      </w:r>
    </w:p>
    <w:p>
      <w:r>
        <w:t>Единица измерения: Рубль.</w:t>
      </w:r>
    </w:p>
    <w:p>
      <w:r>
        <w:t>Участник закупки вправе указать представленные в составе заявки контракты/договоры в рекомендованной форме «Сведения о представленных в составе заявки контрактах/договорах», приведенной в Приложении № 1».</w:t>
      </w:r>
    </w:p>
    <w:p>
      <w:r>
        <w:t>На заседании Комиссии установлено, что в составе заявки Победителя по показателю «наличие у участников закупки опыта работы, связанного с предметом контракта» в рамках критерия «Квалификация участников закупки» представлено 6 345 контракта/договора на общую сумму 2 857 500 730,06 рублей, из них к оценке Конкурсной комиссией принято 5 756,00 контракта/договора на сумму 2 552 978 765,26 рублей, в том числе 1274 договора № Б/Н от 01.01.2021, 02.01.2021, 03.01.2021, 04.01.2021 на оказание охранных услуг, заключенные с ООО ЧОП «СтАрт-В».</w:t>
      </w:r>
    </w:p>
    <w:p>
      <w:r>
        <w:t>Комиссия приходит к выводу, что договоры не соответствуют установленному Заказчиком порядку оценки, поскольку в договорах не указано место выполнения работ, а также отсутствуют объем и виды работ, в связи с чем не представляется возможным прийти к выводу о том, что в рамках исполнения договора оказывались услуг по обеспечению охраны объектов.</w:t>
      </w:r>
    </w:p>
    <w:p>
      <w:r>
        <w:t>Кроме того, согласно актам сдачи-приемки оказанных услуг по договорам № Б/Н услуги оказаны безвозмездно.</w:t>
      </w:r>
    </w:p>
    <w:p>
      <w:r>
        <w:t>Изучив документы и сведения, а также заявку Победителя, представленную на заседании Комиссии представителем Заказчика, Комиссия приходит к выводу, что действия Конкурсной комиссии в части принятия к оценке договоров, представленных в составе заявки Победителя, противоречат, установленному порядку оценки заявок и требованиям Закона о контрактной системе.</w:t>
      </w:r>
    </w:p>
    <w:p>
      <w:r>
        <w:t>Вместе с тем, представителем Заказчика на заседании Комиссии доказательств обратного не представлено.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изложенного, Комиссия приходит к выводу, что действия Конкурсной комиссии нарушают пункт 1 части 11 статьи 48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2) В соответствии с Протоколом рассмотрения и оценки вторых частей заявок заявке участника закупки с идентификационным номером заявки «119866317» присвоено 57,97 баллов по нестоимостному критерию нестоимостному критерию «Квалификация участников закупки» и установлено в том числе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Идентификационный номер заявки, присвоенный оператором</w:t>
            </w:r>
          </w:p>
        </w:tc>
        <w:tc>
          <w:tcPr>
            <w:tcW w:type="dxa" w:w="1234"/>
          </w:tcPr>
          <w:p>
            <w:r>
              <w:t>Данные участников</w:t>
              <w:br/>
              <w:t>(сведения, представленные участником)</w:t>
            </w:r>
          </w:p>
        </w:tc>
        <w:tc>
          <w:tcPr>
            <w:tcW w:type="dxa" w:w="1234"/>
          </w:tcPr>
          <w:p>
            <w:r>
              <w:t>Данные принятые к оценке</w:t>
            </w:r>
          </w:p>
        </w:tc>
        <w:tc>
          <w:tcPr>
            <w:tcW w:type="dxa" w:w="1234"/>
          </w:tcPr>
          <w:p>
            <w:r>
              <w:t>Данные участников</w:t>
              <w:br/>
              <w:t>(сведения, представленные участником)</w:t>
            </w:r>
          </w:p>
        </w:tc>
        <w:tc>
          <w:tcPr>
            <w:tcW w:type="dxa" w:w="1234"/>
          </w:tcPr>
          <w:p>
            <w:r>
              <w:t>Данные принятые к оценке</w:t>
            </w:r>
          </w:p>
        </w:tc>
        <w:tc>
          <w:tcPr>
            <w:tcW w:type="dxa" w:w="1234"/>
          </w:tcPr>
          <w:p>
            <w:r>
              <w:t>Кол-во баллов</w:t>
            </w:r>
          </w:p>
        </w:tc>
        <w:tc>
          <w:tcPr>
            <w:tcW w:type="dxa" w:w="1234"/>
          </w:tcPr>
          <w:p>
            <w:r>
              <w:t>Рейтинг заявки по показателю</w:t>
              <w:br/>
              <w:t>(с учетом коэффициента значимости)</w:t>
            </w:r>
          </w:p>
        </w:tc>
      </w:tr>
      <w:tr>
        <w:tc>
          <w:tcPr>
            <w:tcW w:type="dxa" w:w="1234"/>
          </w:tcPr>
          <w:p>
            <w:r>
              <w:t>119866317</w:t>
            </w:r>
          </w:p>
        </w:tc>
        <w:tc>
          <w:tcPr>
            <w:tcW w:type="dxa" w:w="1234"/>
          </w:tcPr>
          <w:p>
            <w:r>
              <w:t>2 567 970 557,79</w:t>
            </w:r>
          </w:p>
        </w:tc>
        <w:tc>
          <w:tcPr>
            <w:tcW w:type="dxa" w:w="1234"/>
          </w:tcPr>
          <w:p>
            <w:r>
              <w:t>2 564 514 346,49</w:t>
            </w:r>
          </w:p>
        </w:tc>
        <w:tc>
          <w:tcPr>
            <w:tcW w:type="dxa" w:w="1234"/>
          </w:tcPr>
          <w:p>
            <w:r>
              <w:t>5 410,00</w:t>
            </w:r>
          </w:p>
        </w:tc>
        <w:tc>
          <w:tcPr>
            <w:tcW w:type="dxa" w:w="1234"/>
          </w:tcPr>
          <w:p>
            <w:r>
              <w:t>5 369,00</w:t>
            </w:r>
          </w:p>
        </w:tc>
        <w:tc>
          <w:tcPr>
            <w:tcW w:type="dxa" w:w="1234"/>
          </w:tcPr>
          <w:p>
            <w:r>
              <w:t>96,62</w:t>
            </w:r>
          </w:p>
        </w:tc>
        <w:tc>
          <w:tcPr>
            <w:tcW w:type="dxa" w:w="1234"/>
          </w:tcPr>
          <w:p>
            <w:r>
              <w:t>57,97</w:t>
            </w:r>
          </w:p>
        </w:tc>
      </w:tr>
    </w:tbl>
    <w:p>
      <w:r>
        <w:t>На заседании Комиссии установлено, что Заказчиком в Критериях оценки заявок на участие в Конкурсе по детализирующим показателям «общая цена исполненных участником закупки договоров», «общее количество исполненных участником закупки договоров» показателя «наличие у участников закупки опыта работы, связанного с предметом контракта» в рамках критерия «Квалификация участников закупки» Заказчиком установлено, в том числе следующее:</w:t>
      </w:r>
    </w:p>
    <w:p>
      <w:r>
        <w:t>«Подпункт «а» пункта 28 Положения</w:t>
      </w:r>
    </w:p>
    <w:p>
      <w:r>
        <w:t>Требования к документам для оценки показателя:</w:t>
      </w:r>
    </w:p>
    <w:p>
      <w:r>
        <w:t>Предмет договора (договоров), оцениваемого по детализирующему показателю, сопоставимый с предметом контракта, заключаемого по результатам определения поставщика (подрядчика, исполнителя):</w:t>
      </w:r>
    </w:p>
    <w:p>
      <w:r>
        <w:t>- наличие опыта исполнения участником закупки договора, предусматривающего оказание услуг по обеспечению охраны объектов (территорий).</w:t>
      </w:r>
    </w:p>
    <w:p>
      <w:r>
        <w:t>Перечень документов, подтверждающих наличие у участника закупки опыта оказания услуг</w:t>
      </w:r>
    </w:p>
    <w:p>
      <w:r>
        <w:t>1. исполненный договор (договоры),</w:t>
      </w:r>
    </w:p>
    <w:p>
      <w:r>
        <w:t>2. акт (акты) приемки оказанных услуг, составленные при исполнении такого договора (договоров);</w:t>
      </w:r>
    </w:p>
    <w:p>
      <w:r>
        <w:t>Последний акт, составленный при исполнении договора, должен быть подписан не ранее чем за 5 лет до даты окончания срока подачи заявок;</w:t>
      </w:r>
    </w:p>
    <w:p>
      <w:r>
        <w:t>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 №44-ФЗ и 223-ФЗ;</w:t>
      </w:r>
    </w:p>
    <w:p>
      <w:r>
        <w:t>Документы направляются участником закупки в форме электронных документов или в форме электронных образов бумажных документов;</w:t>
      </w:r>
    </w:p>
    <w:p>
      <w:r>
        <w:t>Каждый контракт/договор должен быть исполнен участником закупки в полном объеме в соответствии с условиями, установленными в таком контракте/договоре.</w:t>
      </w:r>
    </w:p>
    <w:p>
      <w:r>
        <w:t>При этом представленные документы должны быть в виде неповторяющихся, полно читаемых копий, на которых видны необходимые подписи и печати (при наличии).</w:t>
      </w:r>
    </w:p>
    <w:p>
      <w:r>
        <w:t>Оценке не подлежат контракты/договоры, услуги по которым продолжаются и/или не выполнены (являются незавершенными).</w:t>
      </w:r>
    </w:p>
    <w:p>
      <w:r>
        <w:t>Оцениваются представленные участником закупки контракты/договоры, которые приложены в составе заявки.</w:t>
      </w:r>
    </w:p>
    <w:p>
      <w:r>
        <w:t>Единица измерения: Рубль.</w:t>
      </w:r>
    </w:p>
    <w:p>
      <w:r>
        <w:t>Участник закупки вправе указать представленные в составе заявки контракты/договоры в рекомендованной форме «Сведения о представленных в составе заявки контрактах/договорах», приведенной в Приложении № 1».</w:t>
      </w:r>
    </w:p>
    <w:p>
      <w:r>
        <w:t>На заседании Комиссии установлено, что в составе заявки участника закупки с идентификационным номером заявки «119866317» по показателю «наличие у участников закупки опыта работы, связанного с предметом контракта» в рамках критерия «Квалификация участников закупки» представлено 5 410 контракта/договора на общую сумму 2 567 970 557,79 рублей, из них к оценке Конкурсной комиссией принято 5 369 контрактов/договоров на сумму 2 564 514 346,49 рублей, в том числе 520 договоров № Б/Н от 01.04.2024, 02.04.2024, 03.04.2024, 04.04.2024 на оказание охранных услуг, заключенные с ООО ЧОП «Атлант охрана».</w:t>
      </w:r>
    </w:p>
    <w:p>
      <w:r>
        <w:t>Комиссия приходит к выводу, что договоры не соответствуют установленному Заказчиком порядку оценки, поскольку в договорах не указано место выполнения работ, а также отсутствуют объем и виды работ, в связи с чем не представляется возможным прийти к выводу о том, что в рамках исполнения договора оказывались услуг по обеспечению охраны объектов.</w:t>
      </w:r>
    </w:p>
    <w:p>
      <w:r>
        <w:t>Кроме того, согласно актам сдачи-приемки оказанных услуг по договорам № Б/Н услуги оказаны безвозмездно.</w:t>
      </w:r>
    </w:p>
    <w:p>
      <w:r>
        <w:t>Изучив документы и сведения, а также заявку участника закупки с идентификационным номером заявки «119866317», представленную на заседании Комиссии представителем Заказчика, Комиссия приходит к выводу, что действия Конкурсной комиссии в части принятия к оценке договоров, представленных в составе заявки участника закупки с идентификационным номером заявки «119866317», противоречат, установленному порядку оценки заявок и требованиям Закона о контрактной системе.</w:t>
      </w:r>
    </w:p>
    <w:p>
      <w:r>
        <w:t>Вместе с тем, представителем Заказчика на заседании Комиссии доказательств обратного не представлено.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изложенного, Комиссия приходит к выводу, что действия Конкурсной комиссии нарушают пункт 1 части 11 статьи 48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2. В соответствии с частью 1 статьи 34 Закона о контрактной системе Контракт заключается на условиях, предусмотренных извещением об осуществлении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настоящим Федеральным законом извещение об осуществлении закупки или приглашение, документация о закупке, заявка не предусмотрены. В случае, предусмотренном частью 24 статьи 22 настоящего Федерального закона, контракт должен содержать порядок определения количества поставляемого товара, объема выполняемой работы, оказываемой услуги на основании заявок заказчика.</w:t>
      </w:r>
    </w:p>
    <w:p>
      <w:r>
        <w:t>Согласно пункту 8 части 1 статьи 42 Закона о контрактной системе установлено, что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срок исполнения контракта (отдельных этапов исполнения контракта, если проектом контракта предусмотрены такие этапы).</w:t>
      </w:r>
    </w:p>
    <w:p>
      <w:r>
        <w:t>В соответствии с извещением о проведении Конкурса предметом закупки является оказание охранных услуг по обеспечению комплекса мер, направленных на защиту материального имущества, обеспечение внутриобъектового и пропускного режима для нужд ГБПОУ МО "Физтех-колледж" в 2026 году.</w:t>
      </w:r>
    </w:p>
    <w:p>
      <w:r>
        <w:t>Согласно извещению о проведении Конкурс дата начала исполнения контракта – 01.01.2026, срок исполнения контракта – 31.01.2027.</w:t>
      </w:r>
    </w:p>
    <w:p>
      <w:r>
        <w:t>Заказчиком в Приложении № 2 к Контракту установлены сроки оказания услуг, в том числе следующие:</w:t>
      </w:r>
    </w:p>
    <w:p>
      <w:r>
        <w:t>«Срок начала оказания услуг Исполнителем**: 01.01.2026 (МСК);</w:t>
      </w:r>
    </w:p>
    <w:p>
      <w:r>
        <w:t>Срок окончания оказания услуг Исполнителем**: 31.12.2026 (МСК);».</w:t>
      </w:r>
    </w:p>
    <w:p>
      <w:r>
        <w:t>Вместе с тем, Заказчиком в пункте 5.2 Технического задания установлены обязательства к исполнителю при оказании услуг, в том числе следующие:</w:t>
      </w:r>
    </w:p>
    <w:p>
      <w:r>
        <w:t>«5.2. Не позднее 5 (пяти) рабочих дней до даты и времени начала оказания услуг, установленной в Контракте, Исполнитель обязан:</w:t>
      </w:r>
    </w:p>
    <w:p>
      <w:r>
        <w:t>-обследовать объект охраны с целью изучения на месте его характеристик, инженерно-технической укрепленности и оснащенности техническими средствами охраны, изучение особенностей режима работы объекта, расположения постов охраны, маршрутов патрулирования, перечня необходимых номеров телефонов правоохранительных органов и экстренных оперативных служб, определения устойчивости объекта к преступным посягательствам на данный момент, а также разработка рекомендаций Заказчику в целях совершенствования мер охраны;</w:t>
      </w:r>
    </w:p>
    <w:p>
      <w:r>
        <w:t>-ознакомить частных охранников с условиями работы и особенностями охраны объекта под роспись, согласовать взаимодействие частных охранников с ответственным работником от Заказчика;</w:t>
      </w:r>
    </w:p>
    <w:p>
      <w:r>
        <w:t>-обеспечить частных охранников материальными и техническими средствами для выполнения ими договорных обязательств в соответствии с требованиями настоящего Технического задания;</w:t>
      </w:r>
    </w:p>
    <w:p>
      <w:r>
        <w:t>-проверить на объекте охраны исправность средств связи, технических средств охраны, кнопки экстренного вызова полиции, наличие перечня телефонных номеров экстренных служб района (округа, города), размещение и состояние средств пожаротушения;</w:t>
      </w:r>
    </w:p>
    <w:p>
      <w:r>
        <w:t>-выписку из приказа о закреплении работников, на которых возложено непосредственное выполнение обязанностей по охране объектов включить в документацию поста охраны».</w:t>
      </w:r>
    </w:p>
    <w:p>
      <w:r>
        <w:t>С учетом изложенного, Комиссия приходит к выводу, что действия Заказчика в части установления начальных сроков исполнения контракта и оказания услуг подобным образом не позволяют надлежащим образом исполнить обязательства по контракту, что противоречит положениям Закона о контрактной системе.</w:t>
      </w:r>
    </w:p>
    <w:p>
      <w:r>
        <w:t>Таким образом, действия Заказчика нарушают пункт 8 часть 1 статьи 42 Закона о контрактной системе,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«ЧОП «Фактум Секьюрити» обоснованной.</w:t>
      </w:r>
    </w:p>
    <w:p>
      <w:r>
        <w:t>Признать в действиях Заказчика нарушение пункта 8 части 1 статьи 42, части 13 статью 48 Закона о контрактной системе.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Заказчику, Конкурсной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Передать материалы дела от 12.11.2025 № 050/06/105-40933/2025 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</w:t>
      </w:r>
    </w:p>
    <w:p>
      <w:r>
        <w:t>10</w:t>
      </w:r>
    </w:p>
    <w:p>
      <w:r>
        <w:t>11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«Физико-технический колледж»</w:t>
      </w:r>
    </w:p>
    <w:p>
      <w:r>
        <w:t>hvatova.ev@phystech.pro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«ЧОП «Фактум Секьюрити»</w:t>
      </w:r>
    </w:p>
    <w:p>
      <w:r>
        <w:t>factum-s@mail.ru</w:t>
      </w:r>
    </w:p>
    <w:p>
      <w:r>
        <w:t>ПРЕДПИСАНИЕ</w:t>
      </w:r>
    </w:p>
    <w:p>
      <w:r>
        <w:t>по делу № 050/06/105-40933/2025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12.11.2025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12.11.2025 № 050/06/105-40933/2025, принятого Комиссией по итогам рассмотрения жалобы ООО «ЧОП «Фактум Секьюрити» (далее – Заявитель) на действия (бездействие) Государственного бюджетного профессионального образовательного учреждения Московской области «Физико-технический колледж» (далее – Заказчик)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оказание охранных услуг по обеспечению комплекса мер, направленных на защиту материального имущества, обеспечение внутриобъектового и пропускного режима для нужд ГБПОУ МО «Физтех-колледж» в 2026 году. (извещение № 0348200085825000039 на официальном сайте Единой информационной системы в сфере закупок – www.zakupki.gov.ru (далее – Официальный сайт)) (далее – Конкурс) и в результате проведения внеплановой проверки в соответствии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Конкурсной комиссией настоящего предписания.</w:t>
      </w:r>
    </w:p>
    <w:p>
      <w:r>
        <w:t>2. Заказчику, Конкурсной комиссии отменить Протоколы, составленные при осуществлении закупки, а также вернуть участникам закупки,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Конкурсе.</w:t>
      </w:r>
    </w:p>
    <w:p>
      <w:r>
        <w:t>3. Заказчику, не позднее 5 рабочих дней со дня исполнения пункта 2 настоящего предписания вернуть участникам закупки, подавшим заявки на участие в Конкурсе, денежные средства, внесенные в качестве обеспечения заявки на участие в Конкурсе.</w:t>
      </w:r>
    </w:p>
    <w:p>
      <w:r>
        <w:t>4. Заказчику:</w:t>
      </w:r>
    </w:p>
    <w:p>
      <w:r>
        <w:t>-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12.11.2025 № 050/06/105-40933/2025, а также разместить соответствующее извещение на Официальном сайте;</w:t>
      </w:r>
    </w:p>
    <w:p>
      <w:r>
        <w:t>- назначить новую дату рассмотрения заявок на участие в Конкурсе и дату подведения итогов Конкурса, а также разместить на Официальном сайте информацию об указанных датах. При этом срок подачи заявок на участие в Конкурсе должен быть продлен так,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дней.</w:t>
      </w:r>
    </w:p>
    <w:p>
      <w:r>
        <w:t>5. Заказчику, Конкурсной комиссии в срок до 26.11.2025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