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202600100161001294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10.03.2026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0162200011826000242</w:t>
      </w:r>
    </w:p>
    <w:p>
      <w:r>
        <w:rPr>
          <w:b/>
        </w:rPr>
        <w:t xml:space="preserve">Банк: </w:t>
      </w:r>
      <w:r>
        <w:t>АО «Альфа-банк»</w:t>
      </w:r>
    </w:p>
    <w:p>
      <w:r>
        <w:rPr>
          <w:b/>
        </w:rPr>
        <w:t xml:space="preserve">Заявитель: </w:t>
      </w:r>
      <w:r>
        <w:t>ООО «Прагма»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https://zakupki.gov.ru/epz/complaint/card/complaint-information.html?complaintNumber=202600100161001294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28/06/105-592/206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11.03.2026 Москва</w:t>
      </w:r>
    </w:p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«ПРАГМА» (далее – Заявитель) на действия АО «АЛЬФА-БАНК» (далее – Банк) при проведении ГКУ СО «Фонд имущества Свердловской области», (далее – Заказчик), Департаментом государственного заказа Свердловской области (далее – Уполномоченный орган), комиссией по осуществлению закупок Уполномоченного органа (далее – Комиссия по осуществлению закупок), ООО «РТС-тендер» (далее – Оператор электронной площадки) электронного аукциона на право заключения контракта на выполнение работ по ликвидации мест несанкционированного размещения отходов производства и потребления (IV-V классов опасности) на земельных участках, находящихся в государственной собственности Свердловской области, и земельных участках, государственная собственность на которые не разграничена, на территории муниципального образования «город Екатеринбург» с предварительной паспортизацией отходов (номер извещения в единой информационной системе в сфере закупок www.zakupki.gov.ru (далее – ЕИС) – 0162200011826000242)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Аукциона.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в качестве обеспечения заявки на участие в Аукционе от 24.02.2026 № 1JJB1X (далее – Независимая гарантия), не соответствующую требованиям Извещения и Закона о контрактной системе.</w:t>
      </w:r>
    </w:p>
    <w:p>
      <w:r>
        <w:t>В ходе рассмотрения жалобы Заявителя 10.03.2026 в целях полного и всестороннего рассмотрения материалов дела в заседании Комиссии объявлен перерыв, заседание продолжилось 11.03.2026.</w:t>
      </w:r>
    </w:p>
    <w:p>
      <w:r>
        <w:t>В соответствии с Извещением, протоколом, составленным при проведении Аукциона:</w:t>
      </w:r>
    </w:p>
    <w:p>
      <w:r>
        <w:t>Извещение размещено в ЕИС – 16.02.2026;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максимальное значение цены контракта – 20 000 000 руб.;</w:t>
      </w:r>
    </w:p>
    <w:p>
      <w:r>
        <w:t>начальная сумма цен товара, работы, услуги – 7 700 руб;</w:t>
      </w:r>
    </w:p>
    <w:p>
      <w:r>
        <w:t>дата окончания срока подачи заявок на участие в Аукционе – 25.02.2026;</w:t>
      </w:r>
    </w:p>
    <w:p>
      <w:r>
        <w:t>на участие в Аукционе подано 6 заявок от участников закупки;</w:t>
      </w:r>
    </w:p>
    <w:p>
      <w:r>
        <w:t>дата подачи ценовых предложений – 25.02.2026;</w:t>
      </w:r>
    </w:p>
    <w:p>
      <w:r>
        <w:t>предложения о цене контракта подавали 6 участников закупки;</w:t>
      </w:r>
    </w:p>
    <w:p>
      <w:r>
        <w:t>дата подведения итогов определения поставщика (подрядчика, исполнителя) – 26.02.2026;</w:t>
      </w:r>
    </w:p>
    <w:p>
      <w:r>
        <w:t>по результатам рассмотрения заявок принято решение о признании 5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участник с идентификационным номером заявки «120583215» с предложением начальной суммы цен товара, работы, услуги в размере 2 772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заявки на участие в закупке (далее – Типовая форма).</w:t>
      </w:r>
    </w:p>
    <w:p>
      <w:r>
        <w:t>В соответствии с Типовой формой независимая гарантия должна содержать сведения об арбитражном суде, в котором подлежат рассмотрению споры, возникающие в связи с исполнением обязательств по независимой гарантии.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гарантию, не соответствующую требованиям Закона о контрактной системе.</w:t>
      </w:r>
    </w:p>
    <w:p>
      <w:r>
        <w:t>Протоколом подведения итогов определения поставщика (подрядчика, исполнителя) от 26.02.2026 № ИЭА1 установлено, что заявка Заявителя отклонена комиссией по осуществлению закупок Заказчика в связи с тем, что Независимой гарантией предусмотрено, что споры, возникающие в связи с исполнением обязательств по независимой гарантии, подлежат рассмотрению в Арбитражном суде города Москвы, что не соответствует требованиям Извещения.</w:t>
      </w:r>
    </w:p>
    <w:p>
      <w:r>
        <w:t>В соответствии с Извещением споры, возникающие в связи с исполнением обязательств по независимой гарантии, подлежат рассмотрению в Арбитражном суде Свердловской области.</w:t>
      </w:r>
    </w:p>
    <w:p>
      <w:r>
        <w:t>Между тем на заседании Комиссии установлено, что Банком в пункте 14 Независимой гарантии указано, что споры, возникающие в связи с исполнением обязательств по Независимой гарантии, подлежат рассмотрению в Арбитражном суде города Москвы.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Независимая гарантия, выданная Банком, не соответствует требованиям, предусмотренным Извещением и Законом о контрактной системе в части определения подсудности разрешения споров.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 и требованиям Закона о контрактной системе, императивными положениями которого предусмотрена необходимость указания наименования суда, в котором подлежат рассмотрению споры, возникающие в связи с исполнением обязательств, Комиссия приходит к выводу, что действия Банка, выдавшего Независимую гарантию, не соответствующую Типовой форме и положениям Закона о контрактной системе,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Кроме того, должностным лицом ФАС России направлен запрос от 04.03.2026 № 25/18487/2026 (далее – Запрос ФАС России) в письменной форме в Банк о предоставлении информации и документов по обстоятельствам жалобы Заявителя.</w:t>
      </w:r>
    </w:p>
    <w:p>
      <w:r>
        <w:t>При этом ответ от Банка по Запросу в адрес ФАС России по состоянию на 11.03.2026 не поступил.</w:t>
      </w:r>
    </w:p>
    <w:p>
      <w:r>
        <w:t>Таким образом, действия Банка, не предоставившего информацию и документы по Запросу ФАС России, нарушают часть 5 статьи 106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Кодекса Российской Федерации об административных правонарушениях.</w:t>
      </w:r>
    </w:p>
    <w:p>
      <w:r>
        <w:t>2. Решением комиссии Свердловского УФАС России по контролю в сфере закупок от 06.03.2026 по делу № 066/06/105-357/2026 в действиях Банка выявлено нарушение части 8.2 статьи 45 Закона о контрактной системе, в связи с чем выдано предписание об устранении выявленного нарушения со сроком исполнения – 31.03.2026.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«ПРАГМА» обоснованной.</w:t>
      </w:r>
    </w:p>
    <w:p>
      <w:r>
        <w:t>Признать в действиях Банка нарушения части 8.2 статьи 45, части 5 статьи 106 Закона о контрактной системе.</w:t>
      </w:r>
    </w:p>
    <w:p>
      <w:r>
        <w:t>В связи с тем, что по выявленным нарушениям выдано предписание об устранении нарушения законодательства Российской Федерации о контрактной системе в сфере закупок от 06.03.2026 по делу № 066/06/105-357/2026, по данному решению предписание не выдавать.</w:t>
      </w:r>
    </w:p>
    <w:p>
      <w:r>
        <w:t>Передать материалы от 11.03.2026 по делу № 28/06/105-592/2026 соответствующему должностному лицу Управления контроля размещения государственного заказа ФАС России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