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202600100161007017</w:t>
      </w:r>
    </w:p>
    <w:p>
      <w:r>
        <w:rPr>
          <w:b/>
        </w:rPr>
        <w:t xml:space="preserve">УФАС: </w:t>
      </w:r>
      <w:r>
        <w:t>УФАС по Санкт-Петербургу</w:t>
      </w:r>
    </w:p>
    <w:p>
      <w:r>
        <w:rPr>
          <w:b/>
        </w:rPr>
        <w:t xml:space="preserve">Дата решения: </w:t>
      </w:r>
      <w:r>
        <w:t>03.06.2026</w:t>
      </w:r>
    </w:p>
    <w:p>
      <w:r>
        <w:rPr>
          <w:b/>
        </w:rPr>
        <w:t xml:space="preserve">Исход: </w:t>
      </w:r>
      <w:r>
        <w:t>обоснована</w:t>
      </w:r>
    </w:p>
    <w:p>
      <w:r>
        <w:rPr>
          <w:b/>
        </w:rPr>
        <w:t xml:space="preserve">Закупка №: </w:t>
      </w:r>
      <w:r>
        <w:t>0372200213326000002</w:t>
      </w:r>
    </w:p>
    <w:p>
      <w:r>
        <w:rPr>
          <w:b/>
        </w:rPr>
        <w:t xml:space="preserve">Заказчик: </w:t>
      </w:r>
      <w:r>
        <w:t>Государственное бюджетное учреждение дополнительного образования спортивная школа олимпийского резерва № 2 Невского района Санкт-Петербурга</w:t>
      </w:r>
    </w:p>
    <w:p>
      <w:r>
        <w:rPr>
          <w:b/>
        </w:rPr>
        <w:t xml:space="preserve">Заявитель: </w:t>
      </w:r>
      <w:r>
        <w:t>ООО «Кварт-юнион»</w:t>
      </w:r>
    </w:p>
    <w:p>
      <w:r>
        <w:rPr>
          <w:b/>
        </w:rPr>
        <w:t xml:space="preserve">Первоисточник в ЕИС: </w:t>
      </w:r>
      <w:r>
        <w:t>https://zakupki.gov.ru/epz/complaint/card/complaint-information.html?complaintNumber=202600100161007017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УЧРЕЖДЕНИЕ ДОПОЛНИТЕЛЬНОГО ОБРАЗОВАНИЯ СПОРТИВНАЯ ШКОЛА ОЛИМПИЙСКОГО РЕЗЕРВА № 2 НЕВСКОГО РАЙОНА САНКТ-ПЕТЕРБУРГА</w:t>
              <w:br/>
              <w:t>Российская Федерация, 193231, Санкт-Петербург, Подвойского ул, Д.31 КОРПУС 3 . ЛИТЕР И</w:t>
            </w:r>
          </w:p>
        </w:tc>
      </w:tr>
    </w:tbl>
    <w:p>
      <w:r>
        <w:t>ООО "КВАРТ-ЮНИОН"</w:t>
      </w:r>
    </w:p>
    <w:p>
      <w:r>
        <w:t>141407, Г.МОСКВА,</w:t>
      </w:r>
    </w:p>
    <w:p>
      <w:r>
        <w:t>вн.тер.г. МУНИЦИПАЛЬНЫЙ ОКРУГ КУРКИНО, КМ МКАД 73-Й, Д. 7</w:t>
      </w:r>
    </w:p>
    <w:p>
      <w:r>
        <w:t>РЕШЕНИЕ</w:t>
      </w:r>
    </w:p>
    <w:p>
      <w:r>
        <w:t>по делу № 078/06/105-2361/2026</w:t>
      </w:r>
    </w:p>
    <w:p>
      <w:r>
        <w:t>о нарушении законодательства о контрактной системе</w:t>
      </w:r>
    </w:p>
    <w:p>
      <w:r>
        <w:t>03.06.2026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ГОСУДАРСТВЕННОЕ БЮДЖЕТНОЕ УЧРЕЖДЕНИЕ ДОПОЛНИТЕЛЬНОГО ОБРАЗОВАНИЯ СПОРТИВНАЯ ШКОЛА ОЛИМПИЙСКОГО РЕЗЕРВА № 2 НЕВСКОГО РАЙОНА САНКТ-ПЕТЕРБУРГА (далее – Заказчик):</w:t>
      </w:r>
    </w:p>
    <w:p>
      <w:r>
        <w:t>ООО "КВАРТ-ЮНИОН" (далее – Заявитель):</w:t>
      </w:r>
    </w:p>
    <w:p>
      <w:pPr>
        <w:pStyle w:val="Heading2"/>
      </w:pPr>
      <w:r>
        <w:t>описательная часть</w:t>
      </w:r>
    </w:p>
    <w:p>
      <w:r>
        <w:t>рассмотрев посредством системы видеоконференцсвязи жалобу Заявителя (вх. № 12429/26 от 29.05.2026) на действия ГБУ ДО СШОР № 2 НЕВСКОГО РАЙОНА САНКТ-ПЕТЕРБУРГА, (далее – Заказчик), при определении (подрядчика, исполнителя) путем проведения электронного аукциона на поставку хоккейных клюшек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22.05.2026 в единой информационной системе, номер извещения 0372200213326000002. Начальная (максимальная) цена контракта – 2184600,00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описание объекта закупки.</w:t>
      </w:r>
    </w:p>
    <w:p>
      <w:r>
        <w:t>По мнению Заявителя, Заказчик сформировал описание закупаемого товара с нарушением требований Закона о контрактной системе. Заявитель указывает, что в извещении приведены конкретные наименования моделей, технологий и конструктивных решений, используемых отдельными производителями хоккейных клюшек.</w:t>
      </w:r>
    </w:p>
    <w:p>
      <w:r>
        <w:t>По позиции Заявителя, такие условия ориентируют закупку на поставку товара конкретных торговых марок и ограничивают возможность предложения эквивалентной продукции.</w:t>
      </w:r>
    </w:p>
    <w:p>
      <w:r>
        <w:t>Заявитель также указывает, что ссылка Заказчика на возможность поставки эквивалента носит формальный характер. При установленной совокупности характеристик участник фактически обязан предложить товар, совпадающий с указанными моделями и фирменными технологиями.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Заказчик с доводами жалобы не согласился.</w:t>
      </w:r>
    </w:p>
    <w:p>
      <w:r>
        <w:t>В разъяснении на запрос участника Заказчик указал, что позиции КТРУ 32.30.15.117-00000009 и 32.30.15.117-00000010 содержат как обязательные для применения характеристики, так и справочные характеристики.</w:t>
      </w:r>
    </w:p>
    <w:p>
      <w:r>
        <w:t>По позиции Заказчика, включение дополнительных характеристик обусловлено спецификой тренировочного процесса спортивной школы олимпийского резерва, требованиями федерального стандарта спортивной подготовки по виду спорта «хоккей», возрастом спортсменов и необходимостью обеспечения безопасности спортсменов на учебно-тренировочном этапе.</w:t>
      </w:r>
    </w:p>
    <w:p>
      <w:r>
        <w:t>При этом Заказчик в указанном разъяснении признал необходимость внесения изменений в описание объекта закупки, в том числе исключения отдельных параметров: «расстояние до середины радиуса пятки крюка», «длина трубки», «полная длина клюшки», а также изменения требований к представлению значений показателей.</w:t>
      </w:r>
    </w:p>
    <w:p>
      <w:r>
        <w:t>Информация, изложенная в жалобе, пояснения представителей сторон, представленные документы подтверждают следующие обстоятельства:</w:t>
      </w:r>
    </w:p>
    <w:p>
      <w:r>
        <w:t>Согласно пункту 5 части 1 статьи 42 Закона о контрактной системе извещение об осуществлении закупки должно содержать наименование объекта закупки и информацию, предусмотренную правилами использования каталога товаров, работ, услуг для обеспечения государственных и муниципальных нужд.</w:t>
      </w:r>
    </w:p>
    <w:p>
      <w:r>
        <w:t>В соответствии с пунктом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Закона о контрактной системе.</w:t>
      </w:r>
    </w:p>
    <w:p>
      <w:r>
        <w:t>Пункт 1 части 1 статьи 33 Закона о контрактной системе предусматривает, что в описании объекта закупки указываются функциональные, технические, качественные и при необходимости эксплуатационные характеристики объекта закупки.</w:t>
      </w:r>
    </w:p>
    <w:p>
      <w:r>
        <w:t>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если такие требования или указания влекут ограничение количества участников закупки. Указание на товарный знак допускается, в том числе, при сопровождении его словами «или эквивалент».</w:t>
      </w:r>
    </w:p>
    <w:p>
      <w:r>
        <w:t>Часть 2 статьи 33 Закона о контрактной системе требует, чтобы описание объекта закупки содержало показатели, позволяющие определить соответствие закупаемого товара требованиям Заказчика. При этом должны быть указаны максимальные и (или) минимальные значения таких показателей и (или) значения показателей, которые не могут изменяться.</w:t>
      </w:r>
    </w:p>
    <w:p>
      <w:r>
        <w:t>По смыслу указанных норм Заказчик вправе определить характеристики товара, необходимые для удовлетворения своей потребности. Однако это право реализуется в пределах принципов открытости, прозрачности и обеспечения конкуренции.</w:t>
      </w:r>
    </w:p>
    <w:p>
      <w:r>
        <w:t>Описание объекта закупки должно описывать потребность Заказчика через функциональные и проверяемые свойства товара, а не через набор фирменных обозначений, технологий и модельных наименований конкретных производителей.</w:t>
      </w:r>
    </w:p>
    <w:p>
      <w:r>
        <w:t>Само по себе указание слов «или эквивалент» не устраняет нарушение, если иные характеристики товара фактически воспроизводят конкретную модель, линейку товара или совокупность фирменных технологий одного производителя. Эквивалентность должна быть реальной, проверяемой и достижимой для неопределенного круга участников закупки.</w:t>
      </w:r>
    </w:p>
    <w:p>
      <w:r>
        <w:t>Формальное использование слов «или эквивалент» не может легализовать описание, которое по существу не позволяет участнику определить, какой именно товар с иным техническим исполнением будет признан соответствующим потребности Заказчика.</w:t>
      </w:r>
    </w:p>
    <w:p>
      <w:r>
        <w:t>Постановлением Правительства Российской Федерации от 08.02.2017 № 145 утверждены Правила использования каталога товаров, работ, услуг для обеспечения государственных и муниципальных нужд.</w:t>
      </w:r>
    </w:p>
    <w:p>
      <w:r>
        <w:t>Пункт 4 Правил использования КТРУ обязывает Заказчика применять информацию, включенную в соответствующую позицию каталога, с даты начала ее обязательного применения.</w:t>
      </w:r>
    </w:p>
    <w:p>
      <w:r>
        <w:t>Пункт 5 Правил использования КТРУ допускает включение в извещение дополнительной информации и дополнительных потребительских свойств, в том числе функциональных, технических, качественных и эксплуатационных характеристик товара, не предусмотренных позицией каталога. Однако такие характеристики должны соответствовать статье 33 Закона о контрактной системе.</w:t>
      </w:r>
    </w:p>
    <w:p>
      <w:r>
        <w:t>Пункт 6 Правил использования КТРУ обязывает Заказчика включить в описание товара обоснование необходимости использования дополнительной информации, если в позиции каталога имеется описание товара.</w:t>
      </w:r>
    </w:p>
    <w:p>
      <w:r>
        <w:t>Следовательно, КТРУ не запрещает Заказчику конкретизировать объект закупки. Однако такая конкретизация не должна превращаться в подмену функционального описания товара перечнем модельных обозначений и фирменных технологий. Дополнительные характеристики должны быть необходимыми, объективными, проверяемыми и соразмерными цели закупки.</w:t>
      </w:r>
    </w:p>
    <w:p>
      <w:r>
        <w:t>Из извещения следует, что объектом закупки является поставка хоккейных клюшек. Заказчик использовал позиции КТРУ 32.30.15.117-00000009 и 32.30.15.117-00000010 «Клюшка для хоккея с шайбой».</w:t>
      </w:r>
    </w:p>
    <w:p>
      <w:r>
        <w:t>При этом в структурированном описании объекта закупки Заказчик указал товарные знаки BAUER и WARRIOR с оговоркой о возможности поставки эквивалента.</w:t>
      </w:r>
    </w:p>
    <w:p>
      <w:r>
        <w:t>Одновременно Заказчик установил в характеристиках товара конкретные модельные и технологические обозначения, в том числе:</w:t>
      </w:r>
    </w:p>
    <w:p>
      <w:r>
        <w:t>«VAPOR S25 FLYPRO GRIP SR или эквивалент»;</w:t>
      </w:r>
    </w:p>
    <w:p>
      <w:r>
        <w:t>«S23 GSX INT или эквивалент»;</w:t>
      </w:r>
    </w:p>
    <w:p>
      <w:r>
        <w:t>«ALPHA LX2 STRIKE GRIP SR или эквивалент»;</w:t>
      </w:r>
    </w:p>
    <w:p>
      <w:r>
        <w:t>«X SERIES GRIP INT или эквивалент»;</w:t>
      </w:r>
    </w:p>
    <w:p>
      <w:r>
        <w:t>«HP Mold или эквивалент»;</w:t>
      </w:r>
    </w:p>
    <w:p>
      <w:r>
        <w:t>«XE Taper или эквивалент»;</w:t>
      </w:r>
    </w:p>
    <w:p>
      <w:r>
        <w:t>«Energy Core 3, 15K Carbon Fiber или эквивалент»;</w:t>
      </w:r>
    </w:p>
    <w:p>
      <w:r>
        <w:t>«Short Shaft, Double Concave Sidewalls, Carbon Fused Construction, Square Shaft Geometry или эквивалент»;</w:t>
      </w:r>
    </w:p>
    <w:p>
      <w:r>
        <w:t>«Sabre Taper II или эквивалент»;</w:t>
      </w:r>
    </w:p>
    <w:p>
      <w:r>
        <w:t>«BridgeCore или эквивалент»;</w:t>
      </w:r>
    </w:p>
    <w:p>
      <w:r>
        <w:t>«Apex Grip или эквивалент»;</w:t>
      </w:r>
    </w:p>
    <w:p>
      <w:r>
        <w:t>«Tacky Grip или эквивалент».</w:t>
      </w:r>
    </w:p>
    <w:p>
      <w:r>
        <w:t>Кроме того, по ряду позиций Заказчик установил неизменяемые значения характеристик: конкретный уровень, возрастную группу, хват, загиб крюка, жесткость, массу, форму трубы, ширину и толщину черенка, максимальную ширину крюка, толщину крюка, материал крюка и шафта, точку прогиба, конструкцию и иные параметры.</w:t>
      </w:r>
    </w:p>
    <w:p>
      <w:r>
        <w:t>В совокупности указанные условия формируют не общее функциональное описание хоккейной клюшки, а детализированное воспроизведение конкретных товарных линеек и фирменных технологических решений производителей BAUER и WARRIOR.</w:t>
      </w:r>
    </w:p>
    <w:p>
      <w:r>
        <w:t>Комиссия УФАС учитывает, что хоккейная клюшка как спортивный инвентарь действительно может различаться по возрастной группе, хвату, жесткости, загибу крюка, материалу, массе и иным техническим параметрам. Такие показатели потенциально могут быть значимы для тренировочного процесса.</w:t>
      </w:r>
    </w:p>
    <w:p>
      <w:r>
        <w:t>Однако в рассматриваемом случае Заказчик не ограничился указанием объективных показателей, связанных с возрастом спортсменов, уровнем подготовки, безопасностью тренировочного процесса и удобством эксплуатации. Заказчик закрепил в описании объекта закупки конкретные модельные и технологические обозначения, используемые в коммерческом обороте отдельными производителями.</w:t>
      </w:r>
    </w:p>
    <w:p>
      <w:r>
        <w:t>Такие обозначения сами по себе не являются универсальными характеристиками товара. Они описывают не функциональный результат, необходимый Заказчику, а конкретный способ технического исполнения товара определенного производителя.</w:t>
      </w:r>
    </w:p>
    <w:p>
      <w:r>
        <w:t>Например, требования к технологиям «HP Mold», «XE Taper», «Energy Core 3», «15K Carbon Fiber», «Sabre Taper II», «BridgeCore», «Tacky Grip» не раскрыты Заказчиком через нейтральные технические показатели.</w:t>
      </w:r>
    </w:p>
    <w:p>
      <w:r>
        <w:t>Из извещения не следует, какие именно эксплуатационные свойства должны быть обеспечены указанными технологиями, какими измеряемыми параметрами они подтверждаются и какие иные технические решения могут считаться эквивалентными.</w:t>
      </w:r>
    </w:p>
    <w:p>
      <w:r>
        <w:t>Комиссия УФАС также отмечает, что при описании отдельных показателей Заказчик использовал словесные обозначения, индивидуализирующие конкретное исполнение товара либо технологическое решение производителя, формально сопровождая их словами «или эквивалент».</w:t>
      </w:r>
    </w:p>
    <w:p>
      <w:r>
        <w:t>Так, в описании объекта закупки содержатся, в том числе, показатели «Покрытие Smooth Gloss или эквивалент», «Покрытие шафта Grip или эквивалент», «Покрытие Grip или эквивалент», «Apex Grip или эквивалент», «Tacky Grip или эквивалент».</w:t>
      </w:r>
    </w:p>
    <w:p>
      <w:r>
        <w:t>При этом извещение не содержит характеристик, позволяющих определить, какое именно покрытие будет считаться эквивалентным указанным обозначениям.</w:t>
      </w:r>
    </w:p>
    <w:p>
      <w:r>
        <w:t>Заказчик не раскрыл, какие функциональные, технические или эксплуатационные свойства должны быть обеспечены таким покрытием: степень сцепления с рукой, тип поверхности, коэффициент скольжения, износостойкость, устойчивость к влаге, материал покрытия, способ нанесения либо иной объективный показатель.</w:t>
      </w:r>
    </w:p>
    <w:p>
      <w:r>
        <w:t>Участник закупки не может установить, должен ли предлагаемый товар иметь покрытие с аналогичным коммерческим названием, аналогичным материалом, аналогичным тактильным эффектом либо иным потребительским свойством.</w:t>
      </w:r>
    </w:p>
    <w:p>
      <w:r>
        <w:t>Следовательно, слова «или эквивалент» в указанной части не создают реальной возможности предложения эквивалентного товара. Они лишь формально сопровождают обозначения, связанные с конкретными товарными линейками и технологиями производителей.</w:t>
      </w:r>
    </w:p>
    <w:p>
      <w:r>
        <w:t>По смыслу пункта 1 части 1 статьи 33 Закона о контрактной системе указание на товарный знак или иное обозначение товара допустимо только при условии, что эквивалентность может быть объективно определена участником закупки и проверена комиссией при рассмотрении заявок.</w:t>
      </w:r>
    </w:p>
    <w:p>
      <w:r>
        <w:t>Если Заказчик использует обозначение, индивидуализирующее товар или технологию, но не раскрывает параметры эквивалентности, такое описание не отвечает требованиям определенности и создает риск произвольной оценки заявок.</w:t>
      </w:r>
    </w:p>
    <w:p>
      <w:r>
        <w:t>В рассматриваемом случае Заказчик не описал требуемый результат через нейтральные и проверяемые показатели. Вместо этого, он использовал обозначения покрытий и технологий, характерные для конкретных производителей, без указания признаков, по которым иной товар может быть признан эквивалентным.</w:t>
      </w:r>
    </w:p>
    <w:p>
      <w:r>
        <w:t>При таких условиях участник закупки не может объективно определить, какой товар будет признан эквивалентным. Участник вынужден ориентироваться не на функциональный результат, а на совпадение с названиями технологий и моделей, указанными Заказчиком.</w:t>
      </w:r>
    </w:p>
    <w:p>
      <w:r>
        <w:t>Это противоречит смыслу статьи 33 Закона о контрактной системе. Эквивалентность должна определяться через свойства товара, а не через сходство коммерческих обозначений.</w:t>
      </w:r>
    </w:p>
    <w:p>
      <w:r>
        <w:t>Комиссия УФАС также оценила обоснование дополнительных характеристик, размещенное Заказчиком в извещении.</w:t>
      </w:r>
    </w:p>
    <w:p>
      <w:r>
        <w:t>В графе обоснования Заказчик многократно использовал однотипную формулировку о том, что информация КТРУ является общей, не является исчерпывающей и не позволяет точно определить качественные, функциональные и технические характеристики закупаемого товара. Также указано, что описанию товаров только с использованием характеристик КТРУ соответствует множество товаров, часть из которых не пригодна для удовлетворения потребностей Заказчика.</w:t>
      </w:r>
    </w:p>
    <w:p>
      <w:r>
        <w:t>Указанное обоснование носит общий характер.</w:t>
      </w:r>
    </w:p>
    <w:p>
      <w:r>
        <w:t>Оно не объясняет, почему для удовлетворения потребности Заказчика необходима именно технология «HP Mold», именно «XE Taper», именно «Energy Core 3», именно «Sabre Taper II», именно «BridgeCore» либо иные фирменные обозначения.</w:t>
      </w:r>
    </w:p>
    <w:p>
      <w:r>
        <w:t>Оно не содержит анализа альтернативных технических решений. Оно не подтверждает, что товары иных производителей не обеспечивают безопасность тренировочного процесса, требуемую жесткость, баланс, прочность, массу, форму или иные эксплуатационные свойства.</w:t>
      </w:r>
    </w:p>
    <w:p>
      <w:r>
        <w:t>Обоснование дополнительных характеристик не может быть формальным. Его задача - показать связь между спорным требованием и объективной потребностью Заказчика. Если Заказчик устанавливает характеристику, отсутствующую в КТРУ, он должен объяснить, зачем она нужна, какой результат обеспечивает и почему без нее закупаемый товар не сможет удовлетворить потребность.</w:t>
      </w:r>
    </w:p>
    <w:p>
      <w:r>
        <w:t>В рассматриваемом случае такая связь по спорным характеристикам не раскрыта.</w:t>
      </w:r>
    </w:p>
    <w:p>
      <w:r>
        <w:t>Довод Заказчика о специфике спортивной подготовки хоккеистов Комиссия УФАС принимает в части наличия у Заказчика права закупать инвентарь, соответствующий уровню подготовки спортсменов. Однако указанное обстоятельство не освобождает Заказчика от обязанности описывать объект закупки нейтрально, объективно и без необоснованной привязки к конкретным производителям.</w:t>
      </w:r>
    </w:p>
    <w:p>
      <w:r>
        <w:t>Требования к безопасности тренировочного процесса, снижению травматизма, развитию техники броска, подбору жесткости и баланса клюшки могут быть выражены через объективные показатели: возрастную группу, диапазон жесткости, массу, длину, материал, тип хвата, геометрию, показатели прочности, допустимые отклонения и иные проверяемые характеристики.</w:t>
      </w:r>
    </w:p>
    <w:p>
      <w:r>
        <w:t>Однако Заказчик вместо нейтрального описания значимых свойств использовал модельные и технологические наименования конкретных товарных линеек.</w:t>
      </w:r>
    </w:p>
    <w:p>
      <w:r>
        <w:t>Комиссия УФАС также учитывает, что положения статьи 33 Закона о контрактной системе направлены не только на запрет прямого указания товарного знака без слов «или эквивалент». Эта норма запрещает любые требования и указания, которые по своему фактическому содержанию приводят к ограничению количества участников закупки.</w:t>
      </w:r>
    </w:p>
    <w:p>
      <w:r>
        <w:t>Иными словами, нарушение может выражаться не только в прямом указании товарного знака, но и в установлении такой совокупности характеристик, которая воспроизводит конкретный товар и делает эквивалентность формальной.</w:t>
      </w:r>
    </w:p>
    <w:p>
      <w:r>
        <w:t>В рассматриваемой закупке именно такая ситуация имеет место.</w:t>
      </w:r>
    </w:p>
    <w:p>
      <w:r>
        <w:t>Извещение содержит указание на товарные знаки BAUER и WARRIOR, конкретные модели, фирменные технологии, обозначения покрытий, а также совокупность неизменяемых параметров.</w:t>
      </w:r>
    </w:p>
    <w:p>
      <w:r>
        <w:t>При этом Заказчик не доказал, что иные товары, отличающиеся по наименованию технологии, типу покрытия или конструктивному исполнению, не способны удовлетворить потребность спортивной школы.</w:t>
      </w:r>
    </w:p>
    <w:p>
      <w:r>
        <w:t>Ссылка на то, что товары с иными характеристиками «не пригодны» для потребностей Заказчика, не подтверждена проверяемыми доказательствами.</w:t>
      </w:r>
    </w:p>
    <w:p>
      <w:r>
        <w:t>Материалы дела не содержат технического заключения, сравнительного анализа рынка, документации производителей, экспертного исследования либо иных документов, подтверждающих объективную необходимость всей спорной совокупности характеристик.</w:t>
      </w:r>
    </w:p>
    <w:p>
      <w:pPr>
        <w:pStyle w:val="Heading2"/>
      </w:pPr>
      <w:r>
        <w:t>мотивировочная часть</w:t>
      </w:r>
    </w:p>
    <w:p>
      <w:r>
        <w:t>При таких обстоятельствах Комиссия УФАС приходит к выводу, что описание объекта закупки сформировано с нарушением требований объективности и недопустимости ограничения количества участников закупки.</w:t>
      </w:r>
    </w:p>
    <w:p>
      <w:r>
        <w:t>Установленные Заказчиком характеристики не описывают потребность через универсальные и проверяемые свойства товара, а фактически воспроизводят коммерческие обозначения и конструктивные решения отдельных производителей.</w:t>
      </w:r>
    </w:p>
    <w:p>
      <w:r>
        <w:t>Довод жалобы подтверждается материалами дела и является обоснованным.</w:t>
      </w:r>
    </w:p>
    <w:p>
      <w:r>
        <w:t>В действиях Заказчика установлено нарушение пункта 1 части 2 статьи 42 Закона о контрактной системе во взаимосвязи с пунктом 1 части 1 статьи 33 Закона о контрактной системе.</w:t>
      </w:r>
    </w:p>
    <w:p>
      <w:r>
        <w:t>Нарушение выразилось в формировании описания объекта закупки с использованием совокупности товарных знаков, модельных обозначений, фирменных технологий, обозначений покрытий и неизменяемых характеристик, которые не подтверждены объективной потребностью Заказчика и ограничивают возможность предложения эквивалентного товара.</w:t>
      </w:r>
    </w:p>
    <w:p>
      <w:r>
        <w:t>Установленное нарушение является существенным, поскольку допущено на стадии формирования извещения, влияет на круг потенциальных участников закупки, содержание заявок и возможность добросовестной конкуренции.</w:t>
      </w:r>
    </w:p>
    <w:p>
      <w:r>
        <w:t>Для устранения нарушения Заказчику необходимо привести описание объекта закупки в соответствие с требованиями статьи 33 Закона о контрактной системе и Правил использования КТРУ.</w:t>
      </w:r>
    </w:p>
    <w:p>
      <w:r>
        <w:t>Заказчику следует исключить из описания объекта закупки фирменные наименования технологий, модельные обозначения и обозначения покрытий, если их использование не обусловлено объективной необходимостью, либо описать требуемые свойства через нейтральные функциональные, технические, качественные и эксплуатационные показатели, позволяющие предложить эквивалентные товары различных производителей.</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"КВАРТ-ЮНИОН"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03.06.2026 по делу № 078/06/105-2361/2026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УЧРЕЖДЕНИЕ ДОПОЛНИТЕЛЬНОГО ОБРАЗОВАНИЯ СПОРТИВНАЯ ШКОЛА ОЛИМПИЙСКОГО РЕЗЕРВА № 2 НЕВСКОГО РАЙОНА САНКТ-ПЕТЕРБУРГА</w:t>
              <w:br/>
              <w:t>Российская Федерация, 193231, Санкт-Петербург, Подвойского ул, Д.31 КОРПУС 3 . ЛИТЕР И</w:t>
            </w:r>
          </w:p>
        </w:tc>
      </w:tr>
    </w:tbl>
    <w:p>
      <w:r>
        <w:t>ООО "КВАРТ-ЮНИОН"</w:t>
      </w:r>
    </w:p>
    <w:p>
      <w:r>
        <w:t>141407, Г.МОСКВА,</w:t>
      </w:r>
    </w:p>
    <w:p>
      <w:r>
        <w:t>вн.тер.г. МУНИЦИПАЛЬНЫЙ ОКРУГ КУРКИНО, КМ МКАД 73-Й, Д. 7</w:t>
      </w:r>
    </w:p>
    <w:p>
      <w:r>
        <w:t>ПРЕДПИСАНИЕ</w:t>
      </w:r>
    </w:p>
    <w:p>
      <w:r>
        <w:t>по делу № 078/06/105-2361/2026</w:t>
      </w:r>
    </w:p>
    <w:p>
      <w:r>
        <w:t>об устранении нарушений законодательства о контрактной системе</w:t>
      </w:r>
    </w:p>
    <w:p>
      <w:r>
        <w:t>03.06.2026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078/06/105-2361/2026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ГБУ ДО СШОР № 2 НЕВСКОГО РАЙОНА САНКТ-ПЕТЕРБУРГА и его комиссии устранить нарушение п. 1 ч. 2 ст. 42 Закона о контрактной системе и с этой целью:</w:t>
      </w:r>
    </w:p>
    <w:p>
      <w:r>
        <w:t>- отменить все протоколы, составленные в ходе проведения электронного аукциона с номером реестровым номером закупки 0372200213326000002 (при их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0372200213326000002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26.06.2026 на адрес электронной почты: to78@fas.gov.ru.</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