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202600100161015226</w:t>
      </w:r>
    </w:p>
    <w:p>
      <w:r>
        <w:rPr>
          <w:b/>
        </w:rPr>
        <w:t xml:space="preserve">УФАС: </w:t>
      </w:r>
      <w:r>
        <w:t>УФАС по Пензенской области</w:t>
      </w:r>
    </w:p>
    <w:p>
      <w:r>
        <w:rPr>
          <w:b/>
        </w:rPr>
        <w:t xml:space="preserve">Дата решения: </w:t>
      </w:r>
      <w:r>
        <w:t>Опубликовано в ЕИС 22.09.2026 · в тексте решения — 23.09.2026</w:t>
      </w:r>
    </w:p>
    <w:p>
      <w:r>
        <w:rPr>
          <w:b/>
        </w:rPr>
        <w:t xml:space="preserve">Исход: </w:t>
      </w:r>
      <w:r>
        <w:t>обоснована</w:t>
      </w:r>
    </w:p>
    <w:p>
      <w:r>
        <w:rPr>
          <w:b/>
        </w:rPr>
        <w:t xml:space="preserve">Закупка №: </w:t>
      </w:r>
      <w:r>
        <w:t>0155500000626000516</w:t>
      </w:r>
    </w:p>
    <w:p>
      <w:r>
        <w:rPr>
          <w:b/>
        </w:rPr>
        <w:t xml:space="preserve">Заказчик: </w:t>
      </w:r>
      <w:r>
        <w:t>АО «Сбербанк - автоматизированная система торгов»</w:t>
      </w:r>
    </w:p>
    <w:p>
      <w:r>
        <w:rPr>
          <w:b/>
        </w:rPr>
        <w:t xml:space="preserve">Заявитель: </w:t>
      </w:r>
      <w:r>
        <w:t>ООО «Каменский маслозавод»</w:t>
      </w:r>
    </w:p>
    <w:p>
      <w:r>
        <w:rPr>
          <w:b/>
        </w:rPr>
        <w:t xml:space="preserve">Первоисточник в ЕИС: </w:t>
      </w:r>
      <w:r>
        <w:t>https://zakupki.gov.ru/epz/complaint/card/complaint-information.html?complaintNumber=202600100161015226</w:t>
      </w:r>
    </w:p>
    <w:p/>
    <w:p>
      <w:pPr>
        <w:pStyle w:val="Heading1"/>
      </w:pPr>
      <w:r>
        <w:t>Решение</w:t>
      </w:r>
    </w:p>
    <w:p>
      <w:pPr>
        <w:pStyle w:val="Heading2"/>
      </w:pPr>
      <w:r>
        <w:t>вводная часть</w:t>
      </w:r>
    </w:p>
    <w:p>
      <w:r>
        <w:t>ООО «Каменский маслозавод»</w:t>
      </w:r>
    </w:p>
    <w:p>
      <w:r>
        <w:t>440028, г. Пенза, ул. Циолковского, 35</w:t>
      </w:r>
    </w:p>
    <w:p>
      <w:r>
        <w:t>info@kmz58.ru; kunec@mail.ru; Kunec.retail@mail.ru</w:t>
      </w:r>
    </w:p>
    <w:p>
      <w:r>
        <w:t>ГБУЗ «Областная психиатрическая больница им. К.Р. Евграфова»</w:t>
      </w:r>
    </w:p>
    <w:p>
      <w:r>
        <w:t>440026 г. Пенза, ул. Лермонтова, д. 28</w:t>
      </w:r>
    </w:p>
    <w:p>
      <w:r>
        <w:t>opb@health.pnzreg.ru</w:t>
      </w:r>
    </w:p>
    <w:p>
      <w:r>
        <w:t>ГБУЗ «Пензенская областная туберкулезная больница»</w:t>
      </w:r>
    </w:p>
    <w:p>
      <w:r>
        <w:t>440052, г. Пенза, ул. Суворова, 225а</w:t>
      </w:r>
    </w:p>
    <w:p>
      <w:r>
        <w:t>otb@health.pnzreg.ru Ftizrezerv@mail.ru</w:t>
      </w:r>
    </w:p>
    <w:p>
      <w:r>
        <w:t>ftiz@e-pen.ru</w:t>
      </w:r>
    </w:p>
    <w:p>
      <w:r>
        <w:t>Министерство по тарифному регулированию и государственным закупкам Пензенской области</w:t>
      </w:r>
    </w:p>
    <w:p>
      <w:r>
        <w:t>440066, г. Пенза, пр-д Виноградный 2-й, стр. 30</w:t>
      </w:r>
    </w:p>
    <w:p>
      <w:r>
        <w:t>otdel2zakupki@yandex.ru</w:t>
      </w:r>
    </w:p>
    <w:p>
      <w:r>
        <w:t>Министерство здравоохранения Пензенской области</w:t>
      </w:r>
    </w:p>
    <w:p>
      <w:r>
        <w:t>440008, г. Пенза, ул. Пушкина, д. 163</w:t>
      </w:r>
    </w:p>
    <w:p>
      <w:r>
        <w:t>mzs@penza.net</w:t>
      </w:r>
    </w:p>
    <w:p>
      <w:r>
        <w:t>АО «Молочный комбинат «Пензенский»</w:t>
      </w:r>
    </w:p>
    <w:p>
      <w:r>
        <w:t>440031, г. Пенза, ул. Курская, д. 70</w:t>
      </w:r>
    </w:p>
    <w:p>
      <w:r>
        <w:t>info@molkom-pnz.ru</w:t>
      </w:r>
    </w:p>
    <w:p>
      <w:r>
        <w:t>РЕШЕНИЕ</w:t>
      </w:r>
    </w:p>
    <w:p>
      <w:r>
        <w:t>по жалобе о нарушении законодательства Российской Федерации</w:t>
      </w:r>
    </w:p>
    <w:p>
      <w:r>
        <w:t>о контрактной системе № 058/06/105-817/2026</w:t>
      </w:r>
    </w:p>
    <w:p>
      <w:r>
        <w:t>23 сентября 2026 года г. Пенза, ул. Урицкого, 127</w:t>
      </w:r>
    </w:p>
    <w:p>
      <w:r>
        <w:t>Комиссия Управления Федеральной антимонопольной службы по Пензенской области по контролю в сфере закупок (далее – Комиссия, Комиссия Управления) в составе:</w:t>
      </w:r>
    </w:p>
    <w:p>
      <w:r>
        <w:t>... – заместителя председателя Комиссии, заместителя руководителя - начальника отдела контроля закупок,</w:t>
      </w:r>
    </w:p>
    <w:p>
      <w:r>
        <w:t>... – члена Комиссии, главного специалиста-эксперта отдела контроля закупок,</w:t>
      </w:r>
    </w:p>
    <w:p>
      <w:r>
        <w:t>... – члена Комиссии, главного специалиста-эксперта отдела контроля закупок,</w:t>
      </w:r>
    </w:p>
    <w:p>
      <w:r>
        <w:t>при участии</w:t>
      </w:r>
    </w:p>
    <w:p>
      <w:r>
        <w:t>со стороны заявителя ООО «Каменский маслозавод» ... (генерального директора), ... (представителя по доверенности),</w:t>
      </w:r>
    </w:p>
    <w:p>
      <w:r>
        <w:t>со стороны основного заказчика ГБУЗ «Областная психиатрическая больница им. К.Р. Евграфова» ... (представителя по доверенности),</w:t>
      </w:r>
    </w:p>
    <w:p>
      <w:r>
        <w:t>со стороны заказчика ГБУЗ «Пензенская областная туберкулезная больница» ... (представителя по доверенности),</w:t>
      </w:r>
    </w:p>
    <w:p>
      <w:r>
        <w:t>со стороны уполномоченного органа Министерства по тарифному регулированию и государственным закупкам Пензенской области ... (представителя по доверенности),</w:t>
      </w:r>
    </w:p>
    <w:p>
      <w:r>
        <w:t>со стороны Министерства здравоохранения Пензенской области ... (представителя по доверенности),</w:t>
      </w:r>
    </w:p>
    <w:p>
      <w:r>
        <w:t>со стороны заинтересованного лица АО «Молочный комбинат «Пензенский» ... (представителя по доверенности, после перерыва),</w:t>
      </w:r>
    </w:p>
    <w:p>
      <w:pPr>
        <w:pStyle w:val="Heading2"/>
      </w:pPr>
      <w:r>
        <w:t>мотивировочная часть</w:t>
      </w:r>
    </w:p>
    <w:p>
      <w:r>
        <w:t>рассмотрев жалобу ООО «Каменский маслозавод» на положения извещения при проведении уполномоченным органом Министерством по тарифному регулированию и государственным закупкам Пензенской области в интересах заказчиков ГБУЗ «Областная психиатрическая больница им. К.Р. Евграфова», ГБУЗ «Пензенская областная туберкулезная больница» электронного конкурса «Поставка продуктов питания (молока и молочной продукции) со встречными инвестиционными обязательствами поставщика по созданию, модернизации, освоению производства молока и молочной продукции на территории Пензенской области» (извещение № 0155500000626000516 от 31.08.2026), руководствуясь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17.09.2026 в личном кабинете ЕИС Пензенского УФАС России размещена информация о передаче по подведомственности жалобы ООО «Каменский маслозавод» на положения извещения при проведении уполномоченным органом Министерством по тарифному регулированию и государственным закупкам Пензенской области в интересах заказчиков ГБУЗ «Областная психиатрическая больница им. К.Р. Евграфова», ГБУЗ «Пензенская областная туберкулезная больница» электронного конкурса «Поставка продуктов питания (молока и молочной продукции) со встречными инвестиционными обязательствами поставщика по созданию, модернизации, освоению производства молока и молочной продукции на территории Пензенской области» (извещение № 0155500000626000516 от 31.08.2026).</w:t>
      </w:r>
    </w:p>
    <w:p>
      <w:r>
        <w:t>Кроме того аналогичная по содержанию жалоба подана ООО «Каменский маслозавод» 17.09.2026 в Управление через ПОС (Госуслуги), также 14.09.2026 в Пензенское УФАС России поступило обращение ООО «Каменский маслозавод» о проведении внеплановой проверки рассматриваемой закупки.</w:t>
      </w:r>
    </w:p>
    <w:p>
      <w:r>
        <w:t>С учетом осуществления в соответствии с пунктом 1 части 15 статьи 99 Закона контрактной системы обязательной внеплановой проверки закупки при рассмотрении жалобы в порядке главы 6 Закона о контрактной системы, все поданные заявителем обращения рассматриваются Управлением в рамках настоящей жалобы.</w:t>
      </w:r>
    </w:p>
    <w:p>
      <w:r>
        <w:t>В соответствии с требованиями статьи 106 Закона о контрактной системе жалоба принята и назначена к рассмотрению на 22.09.2026 14 часов 30 минут (МСК).</w:t>
      </w:r>
    </w:p>
    <w:p>
      <w:r>
        <w:t>Представители заказчиков, уполномоченного органа, Министерства здравоохранения Пензенской области участвовали в рассмотрении дистанционно в порядке, предусмотренном письмом ФАС России от 03.04.2020 № ИА/27903/20. Представители заявителя - очном порядке.</w:t>
      </w:r>
    </w:p>
    <w:p>
      <w:r>
        <w:t>При рассмотрении жалобы представители заявителя в полном объеме поддержали доводы жалобы, указав, что Общество на момент проведения закупки отвечает большинству требований, например, о наличии транспортных средств, предназначенных для перевозки пищевых продуктов, наличия производственного помещения на территории Пензенской области. Таким образом указанные обстоятельства исключают необходимость создавать, модернизировать производство на территории Пензенской области продуктов питания (молока и молочной продукции). Одновременно заявитель считает установленные требования к участникам конкурса необоснованными, исходя из следующего:</w:t>
      </w:r>
    </w:p>
    <w:p>
      <w:r>
        <w:t>Условие о наличии/отсутствии производственного помещения не менее 5 000 кв. м. С учетом указания в техническом задании таких позиций как молоко, кефир, творог, масло и т.д., производство которых не требуют установки высокотехнологичного оборудования и, соответственно, таких больших площадей, данное требование не является рациональным с точки зрения особенностей производства молочной продукции, в связи с чем заведомо неприемлемым для потенциальных поставщиков продукции (участников конкурса). В этой связи, условие о цене контракта по значимости в объявленном размере 40%, в то время как условие о наличие площади в 5000 кв. м. в размере 50% (соответствует 100 баллов) не представляется обоснованным с точки зрения градации значимости, а именно превалировании параметров производственных площадей над ценовым компонентом, которые фактически не отражаются на качестве производимой продукции.</w:t>
      </w:r>
    </w:p>
    <w:p>
      <w:r>
        <w:t>Срок действия контракта и его цена, а именно 10 лет и 100 000 000 рублей формально соответствуют ст. 111.4 Закона о контрактной системе, однако, срок действия определен организатором закупки по предельно максимальной величине, а цена контракта – по минимальному уровню, что дает основание полагать об ориентировании конкурса на крайне узкий круг потенциальных участников.</w:t>
      </w:r>
    </w:p>
    <w:p>
      <w:r>
        <w:t>В жалобе указано, что на данный момент на территории Пензенской области действуют несколько предприятий - переработчиков сырого молока, чья продукция соответствует ГОСТ, и качество контролируется государственными органами (Роспотребназор, Россельхознадзор, ЦРПТ «Честный знак»), проводятся все уровни контроля качества продукции, постоянно поддерживается производство в надлежащем состоянии и модернизации, соответствующим программе производственного контроля ХАСП. Таким образом в условиях имеющихся переменных сложностей с экономической ситуацией в целом, логистикой и необходимостью рабочей силы, проведение открытого конкурса на вышеуказанных условиях в заявленном формате напрямую ограничивает конкуренцию в сфере производства и реализации молочной продукции в Пензенской области, создавая для потенциальных поставщиков качественной молочной продукции заведомо неприемлемые и финансово невыгодные условия, оставляя место на рынке исключительно для единиц крупных производителей.</w:t>
      </w:r>
    </w:p>
    <w:p>
      <w:r>
        <w:t>Таким образом в жалобе указано, что действия организаторов конкурса содержат признаки нарушений, предусмотренных Федеральным законом от 26.07.2006 № 135-ФЗ «О защите конкуренции». В связи с чем заявитель просил признать действия Правительства Пензенской области и ГБУЗ ОПБ им. К.Р. Евграфова, выразившиеся в объявлении открытого конкурса в электронной форме от 31.08.2026 № 0155500000626000516 «Поставка продуктов питания (молока и молочной продукции) для нужд учреждений здравоохранения Пензенской области, предусматривающих встречные инвестиционные обязательства поставщика по созданию, модернизации, освоению производства на территории Пензенской области», актом недобросовестной конкуренции в соответствии с Федеральным законом от 26.07.2006 № 135-ФЗ «О защите конкуренции» (далее – Закон о защите конкуренции).</w:t>
      </w:r>
    </w:p>
    <w:p>
      <w:r>
        <w:t>Кроме того 21.09.2026 в адрес Пензенского УФАС России поступили письменные дополнения к жалобе, согласно которым заявитель полагает действия субъектов контроля при проведении рассматриваемой закупки нарушающими требования статей 8 и 32 Закона о контрактной системе. При этом податель жалобы указывает на необоснованность установленных заказчиком критериев оценки заявок по «нестоимостным» показателям, оценка по которым фактически ограничила конкуренцию, что доказывают итоги проведенного конкурса, поскольку даже при снижении ценового предложения ООО «Каменский маслозавод» по указанным критериям получило 0 баллов (в целом с учетом ценового предложения 40 баллов), а победитель закупки, не снижая ценовое предложение получил итоговую оценку 96,86 баллов.</w:t>
      </w:r>
    </w:p>
    <w:p>
      <w:r>
        <w:t>Представители заказчика, уполномоченного органа поддержали позицию, изложенную в отзывах на жалобу, просили признать жалобу необоснованной.</w:t>
      </w:r>
    </w:p>
    <w:p>
      <w:r>
        <w:t>В связи с необходимостью дополнительного анализа материалов по жалобе, возможным представлением дополнительных пояснений со стороны заказчиков, уполномоченного органа, рассмотрение жалобы отложено до 23.09.2026, после чего продолжено с участием тех же лиц, а также представителя заинтересованного лица АО «Молочный комбинат «Пензенский», определенного победителем закупки.</w:t>
      </w:r>
    </w:p>
    <w:p>
      <w:r>
        <w:t>Комиссия Управления считает необходимым отметить следующее.</w:t>
      </w:r>
    </w:p>
    <w:p>
      <w:r>
        <w:t>В просительной части жалобы указаны ссылки на приказ ФАС от 28.04.2010 № 220 «Об утверждении Порядка проведения анализа состояния конкуренции на товарном рынке», постановление Правительства РФ от 30.06.2004 № 331 «Об утверждении Положения о Федеральной антимонопольной службе», Закон о защите конкуренции с просьбой признать действия Правительства Пензенской области и ГБУЗ ОПБ им. К.Р. Евграфова, выразившиеся в объявлении открытого конкурса в электронной форме от 31.08.2026 № 0155500000626000516 «Поставка продуктов питания (молока и молочной продукции) для нужд учреждений здравоохранения Пензенской области, предусматривающих встречные инвестиционные обязательства поставщика по созданию, модернизации, освоению производства на территории Пензенской области», актом недобросовестной конкуренции в соответствии с Законом о защите конкуренции.</w:t>
      </w:r>
    </w:p>
    <w:p>
      <w:r>
        <w:t>Вместе с тем, вопрос оценки действий заказчиков, уполномоченного органа или иных органов государственной власти на предмет их соответствия требованиям Закон о защите конкуренции в рамках рассмотрения жалобы в порядке Закона о контрактной системе не может быть рассмотрен комиссией по контролю в сфере закупок поскольку не относится к ее компетенции.</w:t>
      </w:r>
    </w:p>
    <w:p>
      <w:r>
        <w:t>Заявитель в соответствии с пунктом 2 части 2 статьи 39 Закона о защите конкуренции имеет право обратиться в Пензенское УФАС России с заявлением о нарушении антимонопольного законодательства. При этом такое заявление должно содержать сведения, предусмотренные Административным регламентом Федеральной антимонопольной службы по исполнению государственной функции по возбуждению и рассмотрению дел о нарушениях антимонопольного законодательства Российской Федерации, утвержденным приказом ФАС России от 25.05.2012 № 339, также к заявлению должны быть приложены документы, свидетельствующие о фактах нарушения антимонопольного законодательства.</w:t>
      </w:r>
    </w:p>
    <w:p>
      <w:r>
        <w:t>Таким образом в настоящем случае Комиссией Управления рассматривается жалоба на положения извещения в порядке главы 6 Закона о контрактной системе и проводится внеплановая проверка закупки в соответствии с пунктом 1 части 15 статьи 99 Закона контрактной системы.</w:t>
      </w:r>
    </w:p>
    <w:p>
      <w:r>
        <w:t>В результате рассмотрения жалобы и осуществления в соответствии с пунктом 1 части 15 статьи 99 Закона контрактной системы внеплановой проверки, Комиссия Управления установила следующее.</w:t>
      </w:r>
    </w:p>
    <w:p>
      <w:r>
        <w:t>31.08.2026 уполномоченным органом на официальном сайте www.zakupki.gov.ru размещено извещение № 0155500000626000516 о проведении электронного конкурса «Поставка продуктов питания (молока и молочной продукции) со встречными инвестиционными обязательствами поставщика по созданию, модернизации, освоению производства молока и молочной продукции на территории Пензенской области».</w:t>
      </w:r>
    </w:p>
    <w:p>
      <w:r>
        <w:t>Дата и время окончания срока подачи заявок 16.09.2026 09:00 (МСК)</w:t>
      </w:r>
    </w:p>
    <w:p>
      <w:r>
        <w:t>Дата окончания срока рассмотрения и оценки вторых частей заявок 18.09.2026</w:t>
      </w:r>
    </w:p>
    <w:p>
      <w:r>
        <w:t>Дата подведения итогов определения поставщика (подрядчика, исполнителя) 21.09.2026</w:t>
      </w:r>
    </w:p>
    <w:p>
      <w:r>
        <w:t>Максимальное значение цены контракта 252 468 851,24 руб.</w:t>
      </w:r>
    </w:p>
    <w:p>
      <w:r>
        <w:t>В силу части 1 статьи 111.4 Закона о контрактной системе заказчик вправе осуществить в соответствии с настоящим Федеральным законом закупку, по результатам которой заключается контракт со встречными инвестиционными обязательствами, с учетом следующих особенностей:</w:t>
      </w:r>
    </w:p>
    <w:p>
      <w:r>
        <w:t>1) закупка осуществляется на основании акта высшего исполнительного органа субъекта Российской Федерации;</w:t>
      </w:r>
    </w:p>
    <w:p>
      <w:r>
        <w:t>2) закупка осуществляется путем проведения электронного конкурса в соответствии с настоящим Федеральным законом и с учетом особенностей, предусмотренных настоящей статьей;</w:t>
      </w:r>
    </w:p>
    <w:p>
      <w:r>
        <w:t>3) участниками закупки могут быть только юридические лица;</w:t>
      </w:r>
    </w:p>
    <w:p>
      <w:r>
        <w:t>4) товар, производство которого создано, модернизировано, освоено, должен соответствовать критериям подтверждения производства российской промышленной продукции, установленным в соответствии с Федеральным законом от 31 декабря 2014 года № 488-ФЗ «О промышленной политике в Российской Федерации».</w:t>
      </w:r>
    </w:p>
    <w:p>
      <w:r>
        <w:t>Частью 2 статьи 111.4 Закона о контрактной системе определено, что актом высшего исполнительного органа субъекта Российской Федерации, предусмотренным пунктом 1 части 1 настоящей статьи, определяются:</w:t>
      </w:r>
    </w:p>
    <w:p>
      <w:r>
        <w:t>1) заказчик или в случае проведения совместного электронного конкурса, предусмотренного частью 9 настоящей статьи, заказчики;</w:t>
      </w:r>
    </w:p>
    <w:p>
      <w:r>
        <w:t>2) наименование товара, производство которого подлежит созданию, модернизации, освоению, и (или) наименование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подлежит созданию, реконструкции, требования (при необходимости) к характеристикам таких товара и (или) услуги;</w:t>
      </w:r>
    </w:p>
    <w:p>
      <w:r>
        <w:t>3) срок действия контракта со встречными инвестиционными обязательствами, который не может превышать десять лет;</w:t>
      </w:r>
    </w:p>
    <w:p>
      <w:r>
        <w:t>4) максимальный срок, в течение которого осуществляются создание, модернизация, освоение производства товара и (или) создание, реконструкция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и который не может превышать срок действия контракта со встречными инвестиционными обязательствами;</w:t>
      </w:r>
    </w:p>
    <w:p>
      <w:r>
        <w:t>5) минимальный объем инвестиций, подлежащих вложению участником закупки, с которым заключается контракт со встречными инвестиционными обязательствами, в создание, модернизацию, освоение производства товара и (или) создание, реконструкцию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который не должен составлять менее ста миллионов рублей. В случае проведения совместного электронного конкурса, предусмотренного частью 9 настоящей статьи, для всех контрактов независимо от их количества устанавливается общий минимальный объем инвестиций, который не должен составлять менее ста миллионов рублей;</w:t>
      </w:r>
    </w:p>
    <w:p>
      <w:r>
        <w:t>6) требование о создании, модернизации, об освоении производства товара и (или) о создании,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 на территории субъекта Российской Федерации и (или) на территории иного субъекта Российской Федерации при наличии (за исключением предусмотренной частью 4 настоящей статьи закупки для обеспечения нужд двух и более субъектов Российской Федерации) заключенного между такими субъектами Российской Федерации соглашения о предоставлении территории для создания, модернизации, освоения производства товара и (или) создания, реконструкции имущества (недвижимого имущества или недвижимого имущества и движимого имущества, технологически связанных между собой), предназначенного для оказания услуги;</w:t>
      </w:r>
    </w:p>
    <w:p>
      <w:r>
        <w:t>7) минимальное количество товара, возможность производства которого должна быть обеспечена создаваемым, модернизируемым, осваиваемым производством, и (или) минимальный объем услуги, возможность оказания которой должна быть обеспечена с использованием создаваемого, реконструируемого имущества (недвижимого имущества или недвижимого имущества и движимого имущества, технологически связанных между собой);</w:t>
      </w:r>
    </w:p>
    <w:p>
      <w:r>
        <w:t>8) максимальное количество товара и (или) максимальный объем услуги, поставку и (или) оказание которых участник закупки, с которым заключается контракт со встречными инвестиционными обязательствами, вправе осуществить в течение одного календарного года при исполнении контрактов, заключенных в соответствии с пунктом 48 части 1 статьи 93 настоящего Федерального закона. Максимальное количество товара и (или) максимальный объем услуги не должны превышать тридцать процентов количества такого товара и (или) объема такой услуги, соответственно произведенного и (или) оказанной поставщиком (исполнителем) в течение календарного года. Максимальное количество товара и (или) максимальный объем услуги могут не определяться, если при осуществлении закупки для обеспечения нужд одного субъекта Российской Федерации минимальный объем инвестиций, определенный в соответствии с пунктом 5 настоящей части, превышает один миллиард рублей;</w:t>
      </w:r>
    </w:p>
    <w:p>
      <w:r>
        <w:t>9) требования к предусмотренным подпунктами «а» и «б» пункта 10 настоящей части порядку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порядку определения цены контракта, заключаемого с поставщиком (исполнителем), с которым заключен контракт со встречными инвестиционными обязательствами, для целей осуществления закупок в соответствии с пунктом 48 части 1 статьи 93 настоящего Федерального закона;</w:t>
      </w:r>
    </w:p>
    <w:p>
      <w:r>
        <w:t>10) исполнительный орган субъекта Российской Федерации, устанавливающий для целей осуществления закупок в соответствии с пунктом 48 части 1 статьи 93 настоящего Федерального закона:</w:t>
      </w:r>
    </w:p>
    <w:p>
      <w:r>
        <w:t>а) порядок определения предельной цены единицы товара, производство которого создано, модернизировано, освоено, и (или) предельной цены единицы услуги, оказываемой с использованием имущества (недвижимого имущества или недвижимого имущества и движимого имущества, технологически связанных между собой), которое создано, реконструировано, с учетом требований, предусмотренных в соответствии с пунктом 9 настоящей части;</w:t>
      </w:r>
    </w:p>
    <w:p>
      <w:r>
        <w:t>б) порядок определения цены контракта, заключаемого с поставщиком (исполнителем), с которым заключен контракт со встречными инвестиционными обязательствами, с учетом требований, предусмотренных в соответствии с пунктом 9 настоящей части.</w:t>
      </w:r>
    </w:p>
    <w:p>
      <w:r>
        <w:t>Как установлено в рамках рассмотрения жалобы распоряжением Правительства Пензенской области от 13.08.2026 № 528-рП «О проведении совместного электронного конкурса на заключение контрактов на поставку продуктов питания (молока и молочной продукции) для нужд учреждений здравоохранения Пензенской области, предусматривающих встречные инвестиционные обязательства поставщика по созданию, модернизации, освоению их производства на территории Пензенской области» принято решение:</w:t>
      </w:r>
    </w:p>
    <w:p>
      <w:r>
        <w:t>1. Провести совместный электронный конкурс на заключение контрактов на поставку продуктов питания (молока и молочной продукции) для нужд учреждений здравоохранения Пензенской области, предусматривающих встречные инвестиционные обязательства поставщика по созданию, модернизации, освоению их производства на территории Пензенской области (далее - контракты).</w:t>
      </w:r>
    </w:p>
    <w:p>
      <w:r>
        <w:t>2. Утвердить прилагаемый Перечень продуктов питания (молока и молочной продукции), производство которых создается, модернизируется, осваивается на территории Пензенской области в соответствии с контрактами, а также минимальное количество такой продукции, возможность производства которой должна быть обеспечена создаваемым, модернизируемым, осваиваемым производством (далее - Перечень).</w:t>
      </w:r>
    </w:p>
    <w:p>
      <w:r>
        <w:t>3. Установить, что:</w:t>
      </w:r>
    </w:p>
    <w:p>
      <w:r>
        <w:t>3.1. срок действия контракта составляет десять лет;</w:t>
      </w:r>
    </w:p>
    <w:p>
      <w:r>
        <w:t>3.2. минимальный объем инвестиций, подлежащих вложению поставщиком, с которым заключаются контракты, в создание, модернизацию, освоение на территории Пензенской области производства продуктов питания (молока и молочной продукции) согласно Перечню составляет не менее 100 (ста) миллионов рублей;</w:t>
      </w:r>
    </w:p>
    <w:p>
      <w:r>
        <w:t>3.3. максимальный срок, в течение которого осуществляется создание, модернизация, освоение на территории Пензенской области производства продуктов питания (молока и молочной продукции) согласно Перечню, составляет не более 6 месяцев с даты заключения контракта;</w:t>
      </w:r>
    </w:p>
    <w:p>
      <w:r>
        <w:t>3.4. определить государственное бюджетное учреждение здравоохранения «Областная психиатрическая больница им. К.Р. Евграфова» и государственное бюджетное учреждение здравоохранения «Пензенская областная туберкулезная больница» заказчиками (далее - заказчики);</w:t>
      </w:r>
    </w:p>
    <w:p>
      <w:r>
        <w:t>3.5. создание, модернизация, освоение производства продуктов питания (молока и молочной продукции) согласно Перечню, соответствующих критериям подтверждения производства российской промышленной продукции, установленным законодательством Российской Федерации, осуществляется на территории Пензенской области;</w:t>
      </w:r>
    </w:p>
    <w:p>
      <w:r>
        <w:t>3.6. для целей осуществления закупок в соответствии с пунктом 48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(с последующими изменениями) Министерство сельского хозяйства Пензенской области является исполнительным органом Пензенской области, устанавливающим порядок определения предельной цены единицы товара, производство которого создано, модернизировано, освоено на территории Пензенской области согласно Перечню, а также порядок определения цены контракта, заключаемого с поставщиком, с которым заключены контракты, в соответствии с требованиями, утвержденными настоящим распоряжением;</w:t>
      </w:r>
    </w:p>
    <w:p>
      <w:r>
        <w:t>3.7. максимальное количество продуктов питания (молока и молочной продукции) согласно Перечню, поставку которых поставщик, с которым заключаются контракты, вправе осуществить в течение одного календарного года при исполнении контрактов, заключенных в соответствии с пунктом 48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 (с последующими изменениями), не должно превышать тридцати процентов количества продуктов питания (молока и молочной продукции), соответственно произведенных поставщиком в течение календарного года.</w:t>
      </w:r>
    </w:p>
    <w:p>
      <w:r>
        <w:t>Согласно части 1 статьи 48 Закона о контрактной системе электронный конкурс начинается с размещения в единой информационной системе извещения об осуществлении закупки.</w:t>
      </w:r>
    </w:p>
    <w:p>
      <w:r>
        <w:t>В силу пункта 11 части 1 статьи 42 Закона о контрактной системе при осуществлении закупки путем проведения открытых конкурентных способов заказчик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извещение об осуществлении закупки, содержащее критерии оценки заявок на участие в конкурсах, величины значимости этих критериев в соответствии с настоящим Федеральным законом.</w:t>
      </w:r>
    </w:p>
    <w:p>
      <w:r>
        <w:t>В соответствии с частью 2 статьи 42 Закона о контрактной системе извещение об осуществлении закупки, если иное не предусмотрено настоящим Федеральным законом, должно содержать в том числе следующие электронные документы:</w:t>
      </w:r>
    </w:p>
    <w:p>
      <w:r>
        <w:t>1) описание объекта закупки в соответствии со статьей 33 настоящего Федерального закона;</w:t>
      </w:r>
    </w:p>
    <w:p>
      <w:r>
        <w:t>2) обоснование начальной (максимальной) цены контракта. Заказчик, осуществляющий деятельность на территории иностранного государства, также указывает информацию о валюте, используемой для определения и обоснования начальной (максимальной) цены контракта, для оплаты поставленного товара, выполненной работы, оказанной услуги, и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поставленного товара, выполненной работы, оказанной услуги;</w:t>
      </w:r>
    </w:p>
    <w:p>
      <w:r>
        <w:t>3) требования к содержанию, составу заявки на участие в закупке в соответствии с настоящим Федеральным законом и инструкция по ее заполнению. При этом не допускается установление требований, влекущих за собой ограничение количества участников закупки;</w:t>
      </w:r>
    </w:p>
    <w:p>
      <w:r>
        <w:t>4) порядок рассмотрения и оценки заявок на участие в конкурсах в соответствии с настоящим Федеральным законом;</w:t>
      </w:r>
    </w:p>
    <w:p>
      <w:r>
        <w:t>5) проект контракта.</w:t>
      </w:r>
    </w:p>
    <w:p>
      <w:r>
        <w:t>Согласно части 1 статьи 32 Закона о контрактной системе для оценки заявок участников закупки заказчик использует следующие критерии:</w:t>
      </w:r>
    </w:p>
    <w:p>
      <w:r>
        <w:t>1) цена контракта, сумма цен единиц товара, работы, услуги;</w:t>
      </w:r>
    </w:p>
    <w:p>
      <w:r>
        <w:t>2) расходы на эксплуатацию и ремонт товаров, использование результатов работ;</w:t>
      </w:r>
    </w:p>
    <w:p>
      <w:r>
        <w:t>3) качественные, функциональные и экологические характеристики объекта закупки;</w:t>
      </w:r>
    </w:p>
    <w:p>
      <w:r>
        <w:t>4) 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p>
      <w:r>
        <w:t>Частью 4 статьи 32 Закона о контрактной системе предусмотрено, что в извещении об осуществлении закупки, документации о закупке (в случае, если настоящим Федеральным законом предусмотрена документация о закупке) заказчик обязан указать используемые при определении поставщика (подрядчика, исполнителя) критерии и их величины значимости. При этом количество используемых при определении поставщика (подрядчика, исполнителя) критериев, за исключением случаев проведения аукциона, должно быть не менее чем два, одним из которых является цена контракта или сумма цен единиц товара, работы, услуги. Не указанные в извещении об осуществлении закупки, документации о закупке (в случае, если настоящим Федеральным законом предусмотрена документация о закупке) критерии и их величины значимости не могут применяться для целей оценки заявок.</w:t>
      </w:r>
    </w:p>
    <w:p>
      <w:r>
        <w:t>Согласно части 8 статьи 32 Закона о контрактной системе порядок оценки заявок участников закупки, в том числе предельные величины значимости каждого критерия, устанавливается Правительством Российской Федерации. Заказчик для целей оценки заявок участников закупки в случае, если в соответствии с законодательством Российской Федерации установлены регулируемые цены (тарифы) на товары, работы, услуги, вправе не использовать критерии, указанные в пунктах 1 и 2 части 1 настоящей статьи.</w:t>
      </w:r>
    </w:p>
    <w:p>
      <w:r>
        <w:t>Положение об оценке заявок на участие в закупке товаров, работ, услуг для обеспечения государственных и муниципальных нужд (далее – Положение) утверждено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N 2369 и признании утратившими силу некоторых актов и отдельных положений некоторых актов Правительства Российской Федерации».</w:t>
      </w:r>
    </w:p>
    <w:p>
      <w:r>
        <w:t>В Приложении № 2 к Положению определены предельные величины значимости критериев оценки заявок на участие в закупке товаров, работ, услуг для обеспечения государственных и муниципальных нужд. В соответствии с позицией 13 при осуществлении закупки на услуги общественного питания и (или) поставка пищевых продуктов, закупаемых для организаций, осуществляющих образовательную деятельность, медицинских организаций, организаций социального обслуживания, организаций отдыха детей и их оздоровления минимальная значимость критерия оценки «цена контракта, сумма цен единиц товара, работы, услуги» должна составлять – 40, максимальная сумма величин значимости критерия оценки «качественные, функциональные и экологические характеристики объекта закупки» 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- 60.</w:t>
      </w:r>
    </w:p>
    <w:p>
      <w:r>
        <w:t>В соответствии с пунктом 3 Положения для оценки заявок в соответствии с настоящим Положением применяются следующие критерии оценки:</w:t>
      </w:r>
    </w:p>
    <w:p>
      <w:r>
        <w:t>а) цена контракта, сумма цен единиц товара, работы, услуги;</w:t>
      </w:r>
    </w:p>
    <w:p>
      <w:r>
        <w:t>б) расходы;</w:t>
      </w:r>
    </w:p>
    <w:p>
      <w:r>
        <w:t>в) характеристики объекта закупки;</w:t>
      </w:r>
    </w:p>
    <w:p>
      <w:r>
        <w:t>г) квалификация участников закупки.</w:t>
      </w:r>
    </w:p>
    <w:p>
      <w:r>
        <w:t>Пунктом 8 Положения определено, что в случае применения показателей оценки по критериям оценки, предусмотренным подпунктами «в» и «г» пункта 3 настоящего Положения:</w:t>
      </w:r>
    </w:p>
    <w:p>
      <w:r>
        <w:t>а) применяются детализирующие показатели;</w:t>
      </w:r>
    </w:p>
    <w:p>
      <w: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r>
        <w:t>в) 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
        <w:t>Пунктом 20 Положения предусмотрены формулы для оценки заявок в случае, если значение характеристики объекта закупки, определенной количественным значением, находится в функциональной зависимости от значения количества присваиваемых баллов.</w:t>
      </w:r>
    </w:p>
    <w:p>
      <w:r>
        <w:t>Так, например, значение количества баллов по детализирующему показателю, присваиваемых заявке, подлежащей в соответствии с Федеральным законом оценке по критерию оценки «характеристики объекта закупки» (БХi), рассчитывается по одной из следующих формул:</w:t>
      </w:r>
    </w:p>
    <w:p>
      <w:r>
        <w:t>б) в случае, если лучшим является наибольшее значение характеристики объекта закупки, - по формуле:</w:t>
      </w:r>
    </w:p>
    <w:p>
      <w:r>
        <w:t>е) в случае, если лучшим является наибольшее значение характеристики объекта закупки и установлено предельное максимальное значение () характеристики объекта закупки, - по формуле:</w:t>
      </w:r>
    </w:p>
    <w:p>
      <w:r>
        <w:t>ж) в случае, если лучшим является наибольшее значение характеристики объекта закупки и установлено предельное минимальное значение () характеристики объекта закупки, - по формуле:</w:t>
      </w:r>
    </w:p>
    <w:p>
      <w:r>
        <w:t>з) в случае, если лучшим является наибольшее значение характеристики объекта закупки и установлены предельное минимальное значение () характеристики объекта закупки и предельное максимальное значение () характеристики объекта закупки, - по формуле:</w:t>
      </w:r>
    </w:p>
    <w:p>
      <w:r>
        <w:t>где:</w:t>
      </w:r>
    </w:p>
    <w:p>
      <w:r>
        <w:t>Хmax - максимальное значение характеристики объекта закупки, содержащееся в заявках (частях заявок), подлежащих в соответствии с Федеральным законом оценке по критерию оценки "характеристики объекта закупки";</w:t>
      </w:r>
    </w:p>
    <w:p>
      <w:r>
        <w:t>Хi - значение характеристики объекта закупки, содержащееся в предложении участника закупки, заявка (часть заявки) которого подлежит в соответствии с Федеральным законом оценке по критерию оценки "характеристики объекта закупки";</w:t>
      </w:r>
    </w:p>
    <w:p>
      <w:r>
        <w:t>Хmin - минимальное значение характеристики объекта закупки, содержащееся в заявках (частях заявок), подлежащих в соответствии с Федеральным законом оценке по критерию оценки "характеристики объекта закупки";</w:t>
      </w:r>
    </w:p>
    <w:p>
      <w:r>
        <w:t>где - предельное минимальное значение характеристики объекта закупки, установленное заказчиком;</w:t>
      </w:r>
    </w:p>
    <w:p>
      <w:r>
        <w:t>где - предельное максимальное значение характеристики, установленное заказчиком.</w:t>
      </w:r>
    </w:p>
    <w:p>
      <w:r>
        <w:t>Согласно пункту 21 Положения если установлены предусмотренные пунктом 20 настоящего Положения предельное максимальное и (или) предельное минимальное значение характеристики объекта закупки и в предложении участника закупки содержится значение характеристики объекта закупки, которое выше и (или) ниже такого предельного значения соответственно, баллы по детализирующему показателю в соответствии с пунктом 20 настоящего Положения присваиваются в размере, предусмотренном для соответствующего предельного значения характеристики объекта закупки.</w:t>
      </w:r>
    </w:p>
    <w:p>
      <w:r>
        <w:t>Пунктом 22 Положения предусмотрено, что в случае отсутствия функциональной зависимости между значением характеристики объекта закупки, определенной количественным значением, и значением количества присваиваемых баллов, а также в случае, если характеристика не определяется количественным значением, значение количества баллов по детализирующему показателю присваивается заявке, подлежащей в соответствии с Федеральным законом оценке по критерию оценки «характеристики объекта закупки», по шкале оценки. При этом документом, предусмотренным приложением № 1 к настоящему Положению, устанавливаются значения количества баллов, присваиваемые за предлагаемое (предлагаемые) участником закупки количественное значение (значения) характеристики объекта закупки или предлагаемое участником закупки свойство (свойства) объекта закупки.</w:t>
      </w:r>
    </w:p>
    <w:p>
      <w:r>
        <w:t>В соответствии с пунктом 23 Положения если в случае, указанном в пункте 22 настоящего Положения, предусматривается оценка наличия или отсутствия характеристики объекта закупки, шкала оценки должна предусматривать присвоение:</w:t>
      </w:r>
    </w:p>
    <w:p>
      <w:r>
        <w:t>а) 100 баллов заявке (части заявки), содержащей предложение о наличии характеристики объекта закупки, а при отсутствии характеристики объекта закупки - 0 баллов (если лучшим является наличие характеристики объекта закупки);</w:t>
      </w:r>
    </w:p>
    <w:p>
      <w:r>
        <w:t>б) 100 баллов заявке (части заявки), содержащей предложение об отсутствии характеристики объекта закупки, а при наличии характеристики - 0 баллов (если лучшим является отсутствие характеристики объекта закупки).</w:t>
      </w:r>
    </w:p>
    <w:p>
      <w:r>
        <w:t>В соответствии с пунктом 24 Положения для оценки заявок по критерию оценки «квалификация участников закупки» могут применяться, если иное не предусмотрено настоящим Положением, один или несколько из следующих показателей оценки:</w:t>
      </w:r>
    </w:p>
    <w:p>
      <w:r>
        <w:t>а) наличие у участников закупки финансовых ресурсов;</w:t>
      </w:r>
    </w:p>
    <w:p>
      <w:r>
        <w:t>б) наличие у участников закупки на праве собственности или ином законном основании оборудования и других материальных ресурсов;</w:t>
      </w:r>
    </w:p>
    <w:p>
      <w:r>
        <w:t>в) наличие у участников закупки опыта поставки товара, выполнения работы, оказания услуги, связанного с предметом контракта;</w:t>
      </w:r>
    </w:p>
    <w:p>
      <w:r>
        <w:t>г) наличие у участников закупки деловой репутации;</w:t>
      </w:r>
    </w:p>
    <w:p>
      <w:r>
        <w:t>д) наличие у участников закупки специалистов и иных работников определенного уровня квалификации.</w:t>
      </w:r>
    </w:p>
    <w:p>
      <w:r>
        <w:t>Пунктом 25 Положения предусмотрено, что для оценки заявок по показателям оценки, предусмотренным пунктом 24 настоящего Положения, применяются детализирующие показатели.</w:t>
      </w:r>
    </w:p>
    <w:p>
      <w:r>
        <w:t>В силу пункта 26 Положения оценка заявок по критерию оценки «квалификация участников закупки» осуществляется с учетом требований настоящего раздела в порядке, установленном пунктами 20 - 23 раздела IV настоящего Положения для оценки заявок по критерию оценки «характеристики объекта закупки».</w:t>
      </w:r>
    </w:p>
    <w:p>
      <w:r>
        <w:t>Согласно пункту 27 Положения в случае применения показателя оценки, указанного в подпункте «б» пункта 24 настоящего Положения, документом, предусмотренным приложением № 1 к настоящему Положению, устанавливаются:</w:t>
      </w:r>
    </w:p>
    <w:p>
      <w:r>
        <w:t>а) перечень оборудования и других материальных ресурсов, оцениваемых по показателю, предусмотренному подпунктом «б» пункта 24 настоящего Положения, и необходимых для поставки товара, выполнения работ, оказания услуг, являющихся объектом закупки;</w:t>
      </w:r>
    </w:p>
    <w:p>
      <w:r>
        <w:t>б) перечень следующих документов, подтверждающих наличие оборудования и других материальных ресурсов, предусмотренных перечнем, установленным в соответствии с подпунктом «а» настоящего пункта:</w:t>
      </w:r>
    </w:p>
    <w:p>
      <w:r>
        <w:t>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r>
        <w:t>договоры аренды (лизинга), безвозмездного пользования, субаренды на срок исполнения контракта с приложением актов, подтверждающих наличие у участника закупки оборудования и других материальных ресурсов (при отсутствии оборудования и других материальных ресурсов в собственности участника закупки);</w:t>
      </w:r>
    </w:p>
    <w:p>
      <w:r>
        <w:t>выписка из Единого государственного реестра недвижимости, подтверждающая право собственности на объект недвижимого имущества, выданная не ранее чем за 90 дней до дня окончания срока подачи заявок (при наличии объекта недвижимого имущества в собственности участника закупки);</w:t>
      </w:r>
    </w:p>
    <w:p>
      <w:r>
        <w:t>договор аренды объекта недвижимого имущества на срок исполнения контракта, зарегистрированного в установленном порядке (если предусмотрено законодательством), с приложением акта передачи арендованного объекта недвижимого имущества от арендодателя участнику закупки (арендатору) или выписка из Единого государственного реестра недвижимости, подтверждающая право аренды на объект недвижимого имущества и выданная не ранее чем за 90 дней до дня окончания срока подачи заявок (при наличии объекта недвижимого имущества у участника закупки на праве аренды);</w:t>
      </w:r>
    </w:p>
    <w:p>
      <w:r>
        <w:t>иные документы, подтверждающие нахождение у участника закупки в течение срока исполнения контракта объекта недвижимого имущества на ином законном основании (при наличии объекта недвижимого имущества у участника закупки на ином законном основании);</w:t>
      </w:r>
    </w:p>
    <w:p>
      <w:r>
        <w:t>в) к оценке принимаются документы, предусмотренные подпунктом «б» настоящего пункта, в случае их представления в заявке в полном объеме и со всеми приложениями. При проведении открытого конкурса в электронной форме или закрытого конкурса в электронной форме такие документы направляются в форме электронных документов или в форме электронных образов бумажных документов.</w:t>
      </w:r>
    </w:p>
    <w:p>
      <w:r>
        <w:t>В рассматриваемом случае объектом закупки является поставка продуктов питания (молока и молочной продукции) со встречными инвестиционными обязательствами поставщика по созданию, модернизации, освоению производства молока и молочной продукции на территории Пензенской области.</w:t>
      </w:r>
    </w:p>
    <w:p>
      <w:r>
        <w:t>В описании объекта закупки приведены требования к предполагаемой к поставке в результате заключаемых контрактов по итогам закупки продукции, при этом перечень позиций соответствует перечню продуктов питания (молока и молочной продукции), производство которых создается, модернизируется, осваивается на территории пензенской области в соответствии с контрактами на поставку продуктов питания (молока и молочной продукции) для нужд учреждений здравоохранения Пензенской области, предусматривающими встречные инвестиционные обязательства поставщика по созданию, модернизации, освоению их производства на территории Пензенской области, а также минимальное количество такой продукции, возможность производства которой должна быть обеспечена создаваемым, модернизируемым, осваиваемым производством, утвержденному распоряжением Правительства Пензенской области от 13.08.2026 № 528-рП:</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 П/П</w:t>
            </w:r>
          </w:p>
        </w:tc>
        <w:tc>
          <w:tcPr>
            <w:tcW w:type="dxa" w:w="1728"/>
          </w:tcPr>
          <w:p>
            <w:r>
              <w:t>Наименование товара, работы, услуги</w:t>
            </w:r>
          </w:p>
        </w:tc>
        <w:tc>
          <w:tcPr>
            <w:tcW w:type="dxa" w:w="1728"/>
          </w:tcPr>
          <w:p>
            <w:r>
              <w:t>Характеристики товара, работы, услуги</w:t>
            </w:r>
          </w:p>
        </w:tc>
        <w:tc>
          <w:tcPr>
            <w:tcW w:type="dxa" w:w="1728"/>
          </w:tcPr>
          <w:p/>
        </w:tc>
        <w:tc>
          <w:tcPr>
            <w:tcW w:type="dxa" w:w="1728"/>
          </w:tcPr>
          <w:p/>
        </w:tc>
      </w:tr>
      <w:tr>
        <w:tc>
          <w:tcPr>
            <w:tcW w:type="dxa" w:w="1728"/>
          </w:tcPr>
          <w:p>
            <w:r/>
          </w:p>
        </w:tc>
        <w:tc>
          <w:tcPr>
            <w:tcW w:type="dxa" w:w="1728"/>
          </w:tcPr>
          <w:p>
            <w:r/>
          </w:p>
        </w:tc>
        <w:tc>
          <w:tcPr>
            <w:tcW w:type="dxa" w:w="1728"/>
          </w:tcPr>
          <w:p>
            <w:r>
              <w:t>Наименование характеристики</w:t>
            </w:r>
          </w:p>
        </w:tc>
        <w:tc>
          <w:tcPr>
            <w:tcW w:type="dxa" w:w="1728"/>
          </w:tcPr>
          <w:p>
            <w:r>
              <w:t>Значение характеристики</w:t>
            </w:r>
          </w:p>
        </w:tc>
        <w:tc>
          <w:tcPr>
            <w:tcW w:type="dxa" w:w="1728"/>
          </w:tcPr>
          <w:p>
            <w:r>
              <w:t>Единица измерения характеристики</w:t>
            </w:r>
          </w:p>
        </w:tc>
      </w:tr>
      <w:tr>
        <w:tc>
          <w:tcPr>
            <w:tcW w:type="dxa" w:w="1728"/>
          </w:tcPr>
          <w:p>
            <w:r>
              <w:t>1</w:t>
            </w:r>
          </w:p>
        </w:tc>
        <w:tc>
          <w:tcPr>
            <w:tcW w:type="dxa" w:w="1728"/>
          </w:tcPr>
          <w:p>
            <w:r>
              <w:t>Творог</w:t>
            </w:r>
          </w:p>
        </w:tc>
        <w:tc>
          <w:tcPr>
            <w:tcW w:type="dxa" w:w="1728"/>
          </w:tcPr>
          <w:p>
            <w:r>
              <w:t>Фасовка: масса нетто</w:t>
            </w:r>
          </w:p>
        </w:tc>
        <w:tc>
          <w:tcPr>
            <w:tcW w:type="dxa" w:w="1728"/>
          </w:tcPr>
          <w:p>
            <w:r>
              <w:t>не более 500 г</w:t>
            </w:r>
          </w:p>
        </w:tc>
        <w:tc>
          <w:tcPr>
            <w:tcW w:type="dxa" w:w="1728"/>
          </w:tcPr>
          <w:p>
            <w:r/>
          </w:p>
        </w:tc>
      </w:tr>
      <w:tr>
        <w:tc>
          <w:tcPr>
            <w:tcW w:type="dxa" w:w="1728"/>
          </w:tcPr>
          <w:p>
            <w:r/>
          </w:p>
        </w:tc>
        <w:tc>
          <w:tcPr>
            <w:tcW w:type="dxa" w:w="1728"/>
          </w:tcPr>
          <w:p>
            <w:r/>
          </w:p>
        </w:tc>
        <w:tc>
          <w:tcPr>
            <w:tcW w:type="dxa" w:w="1728"/>
          </w:tcPr>
          <w:p>
            <w:r>
              <w:t>Массовая доля белка на 100 г, %</w:t>
            </w:r>
          </w:p>
        </w:tc>
        <w:tc>
          <w:tcPr>
            <w:tcW w:type="dxa" w:w="1728"/>
          </w:tcPr>
          <w:p>
            <w:r>
              <w:t>не менее 16</w:t>
            </w:r>
          </w:p>
        </w:tc>
        <w:tc>
          <w:tcPr>
            <w:tcW w:type="dxa" w:w="1728"/>
          </w:tcPr>
          <w:p>
            <w:r/>
          </w:p>
        </w:tc>
      </w:tr>
      <w:tr>
        <w:tc>
          <w:tcPr>
            <w:tcW w:type="dxa" w:w="1728"/>
          </w:tcPr>
          <w:p>
            <w:r/>
          </w:p>
        </w:tc>
        <w:tc>
          <w:tcPr>
            <w:tcW w:type="dxa" w:w="1728"/>
          </w:tcPr>
          <w:p>
            <w:r/>
          </w:p>
        </w:tc>
        <w:tc>
          <w:tcPr>
            <w:tcW w:type="dxa" w:w="1728"/>
          </w:tcPr>
          <w:p>
            <w:r>
              <w:t>Массовая доля влаги на 100 г, %</w:t>
            </w:r>
          </w:p>
        </w:tc>
        <w:tc>
          <w:tcPr>
            <w:tcW w:type="dxa" w:w="1728"/>
          </w:tcPr>
          <w:p>
            <w:r>
              <w:t>не более 73</w:t>
            </w:r>
          </w:p>
        </w:tc>
        <w:tc>
          <w:tcPr>
            <w:tcW w:type="dxa" w:w="1728"/>
          </w:tcPr>
          <w:p>
            <w:r/>
          </w:p>
        </w:tc>
      </w:tr>
      <w:tr>
        <w:tc>
          <w:tcPr>
            <w:tcW w:type="dxa" w:w="1728"/>
          </w:tcPr>
          <w:p>
            <w:r/>
          </w:p>
        </w:tc>
        <w:tc>
          <w:tcPr>
            <w:tcW w:type="dxa" w:w="1728"/>
          </w:tcPr>
          <w:p>
            <w:r/>
          </w:p>
        </w:tc>
        <w:tc>
          <w:tcPr>
            <w:tcW w:type="dxa" w:w="1728"/>
          </w:tcPr>
          <w:p>
            <w:r>
              <w:t>Массовая доля жира, min, %</w:t>
            </w:r>
          </w:p>
        </w:tc>
        <w:tc>
          <w:tcPr>
            <w:tcW w:type="dxa" w:w="1728"/>
          </w:tcPr>
          <w:p>
            <w:r>
              <w:t>≥ 9</w:t>
            </w:r>
          </w:p>
        </w:tc>
        <w:tc>
          <w:tcPr>
            <w:tcW w:type="dxa" w:w="1728"/>
          </w:tcPr>
          <w:p>
            <w:r/>
          </w:p>
        </w:tc>
      </w:tr>
      <w:tr>
        <w:tc>
          <w:tcPr>
            <w:tcW w:type="dxa" w:w="1728"/>
          </w:tcPr>
          <w:p>
            <w:r/>
          </w:p>
        </w:tc>
        <w:tc>
          <w:tcPr>
            <w:tcW w:type="dxa" w:w="1728"/>
          </w:tcPr>
          <w:p>
            <w:r/>
          </w:p>
        </w:tc>
        <w:tc>
          <w:tcPr>
            <w:tcW w:type="dxa" w:w="1728"/>
          </w:tcPr>
          <w:p>
            <w:r>
              <w:t>Массовая доля жира, max, %</w:t>
            </w:r>
          </w:p>
        </w:tc>
        <w:tc>
          <w:tcPr>
            <w:tcW w:type="dxa" w:w="1728"/>
          </w:tcPr>
          <w:p>
            <w:r>
              <w:t>≤ 9</w:t>
            </w:r>
          </w:p>
        </w:tc>
        <w:tc>
          <w:tcPr>
            <w:tcW w:type="dxa" w:w="1728"/>
          </w:tcPr>
          <w:p>
            <w:r/>
          </w:p>
        </w:tc>
      </w:tr>
      <w:tr>
        <w:tc>
          <w:tcPr>
            <w:tcW w:type="dxa" w:w="1728"/>
          </w:tcPr>
          <w:p>
            <w:r/>
          </w:p>
        </w:tc>
        <w:tc>
          <w:tcPr>
            <w:tcW w:type="dxa" w:w="1728"/>
          </w:tcPr>
          <w:p>
            <w:r/>
          </w:p>
        </w:tc>
        <w:tc>
          <w:tcPr>
            <w:tcW w:type="dxa" w:w="1728"/>
          </w:tcPr>
          <w:p>
            <w:r>
              <w:t>Вид молочного сырья</w:t>
            </w:r>
          </w:p>
        </w:tc>
        <w:tc>
          <w:tcPr>
            <w:tcW w:type="dxa" w:w="1728"/>
          </w:tcPr>
          <w:p>
            <w:r>
              <w:t>Нормализованное молоко</w:t>
            </w:r>
          </w:p>
        </w:tc>
        <w:tc>
          <w:tcPr>
            <w:tcW w:type="dxa" w:w="1728"/>
          </w:tcPr>
          <w:p>
            <w:r/>
          </w:p>
        </w:tc>
      </w:tr>
      <w:tr>
        <w:tc>
          <w:tcPr>
            <w:tcW w:type="dxa" w:w="1728"/>
          </w:tcPr>
          <w:p>
            <w:r/>
          </w:p>
        </w:tc>
        <w:tc>
          <w:tcPr>
            <w:tcW w:type="dxa" w:w="1728"/>
          </w:tcPr>
          <w:p>
            <w:r/>
          </w:p>
        </w:tc>
        <w:tc>
          <w:tcPr>
            <w:tcW w:type="dxa" w:w="1728"/>
          </w:tcPr>
          <w:p>
            <w:r>
              <w:t>Способ производства</w:t>
            </w:r>
          </w:p>
        </w:tc>
        <w:tc>
          <w:tcPr>
            <w:tcW w:type="dxa" w:w="1728"/>
          </w:tcPr>
          <w:p>
            <w:r>
              <w:t>Прессование</w:t>
            </w:r>
          </w:p>
        </w:tc>
        <w:tc>
          <w:tcPr>
            <w:tcW w:type="dxa" w:w="1728"/>
          </w:tcPr>
          <w:p>
            <w:r/>
          </w:p>
        </w:tc>
      </w:tr>
      <w:tr>
        <w:tc>
          <w:tcPr>
            <w:tcW w:type="dxa" w:w="1728"/>
          </w:tcPr>
          <w:p>
            <w:r>
              <w:t>2</w:t>
            </w:r>
          </w:p>
        </w:tc>
        <w:tc>
          <w:tcPr>
            <w:tcW w:type="dxa" w:w="1728"/>
          </w:tcPr>
          <w:p>
            <w:r>
              <w:t>Творог</w:t>
            </w:r>
          </w:p>
        </w:tc>
        <w:tc>
          <w:tcPr>
            <w:tcW w:type="dxa" w:w="1728"/>
          </w:tcPr>
          <w:p>
            <w:r>
              <w:t>Массовая доля белка на 100 г, %</w:t>
            </w:r>
          </w:p>
        </w:tc>
        <w:tc>
          <w:tcPr>
            <w:tcW w:type="dxa" w:w="1728"/>
          </w:tcPr>
          <w:p>
            <w:r>
              <w:t>не менее 8,5</w:t>
            </w:r>
          </w:p>
        </w:tc>
        <w:tc>
          <w:tcPr>
            <w:tcW w:type="dxa" w:w="1728"/>
          </w:tcPr>
          <w:p>
            <w:r/>
          </w:p>
        </w:tc>
      </w:tr>
      <w:tr>
        <w:tc>
          <w:tcPr>
            <w:tcW w:type="dxa" w:w="1728"/>
          </w:tcPr>
          <w:p>
            <w:r/>
          </w:p>
        </w:tc>
        <w:tc>
          <w:tcPr>
            <w:tcW w:type="dxa" w:w="1728"/>
          </w:tcPr>
          <w:p>
            <w:r/>
          </w:p>
        </w:tc>
        <w:tc>
          <w:tcPr>
            <w:tcW w:type="dxa" w:w="1728"/>
          </w:tcPr>
          <w:p>
            <w:r>
              <w:t>Массовая доля жира, min, %</w:t>
            </w:r>
          </w:p>
        </w:tc>
        <w:tc>
          <w:tcPr>
            <w:tcW w:type="dxa" w:w="1728"/>
          </w:tcPr>
          <w:p>
            <w:r>
              <w:t>≥ 7</w:t>
            </w:r>
          </w:p>
        </w:tc>
        <w:tc>
          <w:tcPr>
            <w:tcW w:type="dxa" w:w="1728"/>
          </w:tcPr>
          <w:p>
            <w:r/>
          </w:p>
        </w:tc>
      </w:tr>
      <w:tr>
        <w:tc>
          <w:tcPr>
            <w:tcW w:type="dxa" w:w="1728"/>
          </w:tcPr>
          <w:p>
            <w:r/>
          </w:p>
        </w:tc>
        <w:tc>
          <w:tcPr>
            <w:tcW w:type="dxa" w:w="1728"/>
          </w:tcPr>
          <w:p>
            <w:r/>
          </w:p>
        </w:tc>
        <w:tc>
          <w:tcPr>
            <w:tcW w:type="dxa" w:w="1728"/>
          </w:tcPr>
          <w:p>
            <w:r>
              <w:t>Массовая доля жира, max, %</w:t>
            </w:r>
          </w:p>
        </w:tc>
        <w:tc>
          <w:tcPr>
            <w:tcW w:type="dxa" w:w="1728"/>
          </w:tcPr>
          <w:p>
            <w:r>
              <w:t>≤ 7</w:t>
            </w:r>
          </w:p>
        </w:tc>
        <w:tc>
          <w:tcPr>
            <w:tcW w:type="dxa" w:w="1728"/>
          </w:tcPr>
          <w:p>
            <w:r/>
          </w:p>
        </w:tc>
      </w:tr>
      <w:tr>
        <w:tc>
          <w:tcPr>
            <w:tcW w:type="dxa" w:w="1728"/>
          </w:tcPr>
          <w:p>
            <w:r/>
          </w:p>
        </w:tc>
        <w:tc>
          <w:tcPr>
            <w:tcW w:type="dxa" w:w="1728"/>
          </w:tcPr>
          <w:p>
            <w:r/>
          </w:p>
        </w:tc>
        <w:tc>
          <w:tcPr>
            <w:tcW w:type="dxa" w:w="1728"/>
          </w:tcPr>
          <w:p>
            <w:r>
              <w:t>Вид молочного сырья</w:t>
            </w:r>
          </w:p>
        </w:tc>
        <w:tc>
          <w:tcPr>
            <w:tcW w:type="dxa" w:w="1728"/>
          </w:tcPr>
          <w:p>
            <w:r>
              <w:t>Нормализованное молоко</w:t>
            </w:r>
          </w:p>
        </w:tc>
        <w:tc>
          <w:tcPr>
            <w:tcW w:type="dxa" w:w="1728"/>
          </w:tcPr>
          <w:p>
            <w:r/>
          </w:p>
        </w:tc>
      </w:tr>
      <w:tr>
        <w:tc>
          <w:tcPr>
            <w:tcW w:type="dxa" w:w="1728"/>
          </w:tcPr>
          <w:p>
            <w:r/>
          </w:p>
        </w:tc>
        <w:tc>
          <w:tcPr>
            <w:tcW w:type="dxa" w:w="1728"/>
          </w:tcPr>
          <w:p>
            <w:r/>
          </w:p>
        </w:tc>
        <w:tc>
          <w:tcPr>
            <w:tcW w:type="dxa" w:w="1728"/>
          </w:tcPr>
          <w:p>
            <w:r>
              <w:t>Фасовка: масса нетто</w:t>
            </w:r>
          </w:p>
        </w:tc>
        <w:tc>
          <w:tcPr>
            <w:tcW w:type="dxa" w:w="1728"/>
          </w:tcPr>
          <w:p>
            <w:r>
              <w:t>125 г</w:t>
            </w:r>
          </w:p>
        </w:tc>
        <w:tc>
          <w:tcPr>
            <w:tcW w:type="dxa" w:w="1728"/>
          </w:tcPr>
          <w:p>
            <w:r/>
          </w:p>
        </w:tc>
      </w:tr>
      <w:tr>
        <w:tc>
          <w:tcPr>
            <w:tcW w:type="dxa" w:w="1728"/>
          </w:tcPr>
          <w:p>
            <w:r/>
          </w:p>
        </w:tc>
        <w:tc>
          <w:tcPr>
            <w:tcW w:type="dxa" w:w="1728"/>
          </w:tcPr>
          <w:p>
            <w:r/>
          </w:p>
        </w:tc>
        <w:tc>
          <w:tcPr>
            <w:tcW w:type="dxa" w:w="1728"/>
          </w:tcPr>
          <w:p>
            <w:r>
              <w:t>Способ производства</w:t>
            </w:r>
          </w:p>
        </w:tc>
        <w:tc>
          <w:tcPr>
            <w:tcW w:type="dxa" w:w="1728"/>
          </w:tcPr>
          <w:p>
            <w:r>
              <w:t>Ультрафильтрация</w:t>
            </w:r>
          </w:p>
        </w:tc>
        <w:tc>
          <w:tcPr>
            <w:tcW w:type="dxa" w:w="1728"/>
          </w:tcPr>
          <w:p>
            <w:r/>
          </w:p>
        </w:tc>
      </w:tr>
      <w:tr>
        <w:tc>
          <w:tcPr>
            <w:tcW w:type="dxa" w:w="1728"/>
          </w:tcPr>
          <w:p>
            <w:r>
              <w:t>3</w:t>
            </w:r>
          </w:p>
        </w:tc>
        <w:tc>
          <w:tcPr>
            <w:tcW w:type="dxa" w:w="1728"/>
          </w:tcPr>
          <w:p>
            <w:r>
              <w:t>Творог</w:t>
            </w:r>
          </w:p>
        </w:tc>
        <w:tc>
          <w:tcPr>
            <w:tcW w:type="dxa" w:w="1728"/>
          </w:tcPr>
          <w:p>
            <w:r>
              <w:t>Массовая доля белка на 100 г, %</w:t>
            </w:r>
          </w:p>
        </w:tc>
        <w:tc>
          <w:tcPr>
            <w:tcW w:type="dxa" w:w="1728"/>
          </w:tcPr>
          <w:p>
            <w:r>
              <w:t>не менее 7,6</w:t>
            </w:r>
          </w:p>
        </w:tc>
        <w:tc>
          <w:tcPr>
            <w:tcW w:type="dxa" w:w="1728"/>
          </w:tcPr>
          <w:p>
            <w:r/>
          </w:p>
        </w:tc>
      </w:tr>
      <w:tr>
        <w:tc>
          <w:tcPr>
            <w:tcW w:type="dxa" w:w="1728"/>
          </w:tcPr>
          <w:p>
            <w:r/>
          </w:p>
        </w:tc>
        <w:tc>
          <w:tcPr>
            <w:tcW w:type="dxa" w:w="1728"/>
          </w:tcPr>
          <w:p>
            <w:r/>
          </w:p>
        </w:tc>
        <w:tc>
          <w:tcPr>
            <w:tcW w:type="dxa" w:w="1728"/>
          </w:tcPr>
          <w:p>
            <w:r>
              <w:t>Массовая доля жира, min, %</w:t>
            </w:r>
          </w:p>
        </w:tc>
        <w:tc>
          <w:tcPr>
            <w:tcW w:type="dxa" w:w="1728"/>
          </w:tcPr>
          <w:p>
            <w:r>
              <w:t>≥ 4</w:t>
            </w:r>
          </w:p>
        </w:tc>
        <w:tc>
          <w:tcPr>
            <w:tcW w:type="dxa" w:w="1728"/>
          </w:tcPr>
          <w:p>
            <w:r/>
          </w:p>
        </w:tc>
      </w:tr>
      <w:tr>
        <w:tc>
          <w:tcPr>
            <w:tcW w:type="dxa" w:w="1728"/>
          </w:tcPr>
          <w:p>
            <w:r/>
          </w:p>
        </w:tc>
        <w:tc>
          <w:tcPr>
            <w:tcW w:type="dxa" w:w="1728"/>
          </w:tcPr>
          <w:p>
            <w:r/>
          </w:p>
        </w:tc>
        <w:tc>
          <w:tcPr>
            <w:tcW w:type="dxa" w:w="1728"/>
          </w:tcPr>
          <w:p>
            <w:r>
              <w:t>Массовая доля жира, max, %</w:t>
            </w:r>
          </w:p>
        </w:tc>
        <w:tc>
          <w:tcPr>
            <w:tcW w:type="dxa" w:w="1728"/>
          </w:tcPr>
          <w:p>
            <w:r>
              <w:t>≤ 5</w:t>
            </w:r>
          </w:p>
        </w:tc>
        <w:tc>
          <w:tcPr>
            <w:tcW w:type="dxa" w:w="1728"/>
          </w:tcPr>
          <w:p>
            <w:r/>
          </w:p>
        </w:tc>
      </w:tr>
      <w:tr>
        <w:tc>
          <w:tcPr>
            <w:tcW w:type="dxa" w:w="1728"/>
          </w:tcPr>
          <w:p>
            <w:r/>
          </w:p>
        </w:tc>
        <w:tc>
          <w:tcPr>
            <w:tcW w:type="dxa" w:w="1728"/>
          </w:tcPr>
          <w:p>
            <w:r/>
          </w:p>
        </w:tc>
        <w:tc>
          <w:tcPr>
            <w:tcW w:type="dxa" w:w="1728"/>
          </w:tcPr>
          <w:p>
            <w:r>
              <w:t>Фасовка: масса нетто</w:t>
            </w:r>
          </w:p>
        </w:tc>
        <w:tc>
          <w:tcPr>
            <w:tcW w:type="dxa" w:w="1728"/>
          </w:tcPr>
          <w:p>
            <w:r>
              <w:t>100 г</w:t>
            </w:r>
          </w:p>
        </w:tc>
        <w:tc>
          <w:tcPr>
            <w:tcW w:type="dxa" w:w="1728"/>
          </w:tcPr>
          <w:p>
            <w:r/>
          </w:p>
        </w:tc>
      </w:tr>
      <w:tr>
        <w:tc>
          <w:tcPr>
            <w:tcW w:type="dxa" w:w="1728"/>
          </w:tcPr>
          <w:p>
            <w:r/>
          </w:p>
        </w:tc>
        <w:tc>
          <w:tcPr>
            <w:tcW w:type="dxa" w:w="1728"/>
          </w:tcPr>
          <w:p>
            <w:r/>
          </w:p>
        </w:tc>
        <w:tc>
          <w:tcPr>
            <w:tcW w:type="dxa" w:w="1728"/>
          </w:tcPr>
          <w:p>
            <w:r>
              <w:t>Вид молочного сырья</w:t>
            </w:r>
          </w:p>
        </w:tc>
        <w:tc>
          <w:tcPr>
            <w:tcW w:type="dxa" w:w="1728"/>
          </w:tcPr>
          <w:p>
            <w:r>
              <w:t>Нормализованное молоко</w:t>
            </w:r>
          </w:p>
        </w:tc>
        <w:tc>
          <w:tcPr>
            <w:tcW w:type="dxa" w:w="1728"/>
          </w:tcPr>
          <w:p>
            <w:r/>
          </w:p>
        </w:tc>
      </w:tr>
      <w:tr>
        <w:tc>
          <w:tcPr>
            <w:tcW w:type="dxa" w:w="1728"/>
          </w:tcPr>
          <w:p>
            <w:r/>
          </w:p>
        </w:tc>
        <w:tc>
          <w:tcPr>
            <w:tcW w:type="dxa" w:w="1728"/>
          </w:tcPr>
          <w:p>
            <w:r/>
          </w:p>
        </w:tc>
        <w:tc>
          <w:tcPr>
            <w:tcW w:type="dxa" w:w="1728"/>
          </w:tcPr>
          <w:p>
            <w:r>
              <w:t>Вид вкусового компонента: фруктовый наполнитель</w:t>
            </w:r>
          </w:p>
        </w:tc>
        <w:tc>
          <w:tcPr>
            <w:tcW w:type="dxa" w:w="1728"/>
          </w:tcPr>
          <w:p>
            <w:r>
              <w:t>Фруктовый наполнитель</w:t>
            </w:r>
          </w:p>
        </w:tc>
        <w:tc>
          <w:tcPr>
            <w:tcW w:type="dxa" w:w="1728"/>
          </w:tcPr>
          <w:p>
            <w:r/>
          </w:p>
        </w:tc>
      </w:tr>
      <w:tr>
        <w:tc>
          <w:tcPr>
            <w:tcW w:type="dxa" w:w="1728"/>
          </w:tcPr>
          <w:p>
            <w:r/>
          </w:p>
        </w:tc>
        <w:tc>
          <w:tcPr>
            <w:tcW w:type="dxa" w:w="1728"/>
          </w:tcPr>
          <w:p>
            <w:r/>
          </w:p>
        </w:tc>
        <w:tc>
          <w:tcPr>
            <w:tcW w:type="dxa" w:w="1728"/>
          </w:tcPr>
          <w:p>
            <w:r>
              <w:t>Способ производства</w:t>
            </w:r>
          </w:p>
        </w:tc>
        <w:tc>
          <w:tcPr>
            <w:tcW w:type="dxa" w:w="1728"/>
          </w:tcPr>
          <w:p>
            <w:r>
              <w:t>Ультрафильтрация</w:t>
            </w:r>
          </w:p>
        </w:tc>
        <w:tc>
          <w:tcPr>
            <w:tcW w:type="dxa" w:w="1728"/>
          </w:tcPr>
          <w:p>
            <w:r/>
          </w:p>
        </w:tc>
      </w:tr>
      <w:tr>
        <w:tc>
          <w:tcPr>
            <w:tcW w:type="dxa" w:w="1728"/>
          </w:tcPr>
          <w:p>
            <w:r>
              <w:t>4</w:t>
            </w:r>
          </w:p>
        </w:tc>
        <w:tc>
          <w:tcPr>
            <w:tcW w:type="dxa" w:w="1728"/>
          </w:tcPr>
          <w:p>
            <w:r>
              <w:t>Сметана</w:t>
            </w:r>
          </w:p>
        </w:tc>
        <w:tc>
          <w:tcPr>
            <w:tcW w:type="dxa" w:w="1728"/>
          </w:tcPr>
          <w:p>
            <w:r>
              <w:t>Массовая доля белка на 100 г, %</w:t>
            </w:r>
          </w:p>
        </w:tc>
        <w:tc>
          <w:tcPr>
            <w:tcW w:type="dxa" w:w="1728"/>
          </w:tcPr>
          <w:p>
            <w:r>
              <w:t>не менее 2,5</w:t>
            </w:r>
          </w:p>
        </w:tc>
        <w:tc>
          <w:tcPr>
            <w:tcW w:type="dxa" w:w="1728"/>
          </w:tcPr>
          <w:p>
            <w:r/>
          </w:p>
        </w:tc>
      </w:tr>
      <w:tr>
        <w:tc>
          <w:tcPr>
            <w:tcW w:type="dxa" w:w="1728"/>
          </w:tcPr>
          <w:p>
            <w:r/>
          </w:p>
        </w:tc>
        <w:tc>
          <w:tcPr>
            <w:tcW w:type="dxa" w:w="1728"/>
          </w:tcPr>
          <w:p>
            <w:r/>
          </w:p>
        </w:tc>
        <w:tc>
          <w:tcPr>
            <w:tcW w:type="dxa" w:w="1728"/>
          </w:tcPr>
          <w:p>
            <w:r>
              <w:t>Массовая доля жира</w:t>
            </w:r>
          </w:p>
        </w:tc>
        <w:tc>
          <w:tcPr>
            <w:tcW w:type="dxa" w:w="1728"/>
          </w:tcPr>
          <w:p>
            <w:r>
              <w:t>&gt;= 19 и &lt; 22</w:t>
            </w:r>
          </w:p>
        </w:tc>
        <w:tc>
          <w:tcPr>
            <w:tcW w:type="dxa" w:w="1728"/>
          </w:tcPr>
          <w:p>
            <w:r>
              <w:t>ПРОЦ</w:t>
            </w:r>
          </w:p>
        </w:tc>
      </w:tr>
      <w:tr>
        <w:tc>
          <w:tcPr>
            <w:tcW w:type="dxa" w:w="1728"/>
          </w:tcPr>
          <w:p>
            <w:r/>
          </w:p>
        </w:tc>
        <w:tc>
          <w:tcPr>
            <w:tcW w:type="dxa" w:w="1728"/>
          </w:tcPr>
          <w:p>
            <w:r/>
          </w:p>
        </w:tc>
        <w:tc>
          <w:tcPr>
            <w:tcW w:type="dxa" w:w="1728"/>
          </w:tcPr>
          <w:p>
            <w:r>
              <w:t>Фасовка: масса нетто</w:t>
            </w:r>
          </w:p>
        </w:tc>
        <w:tc>
          <w:tcPr>
            <w:tcW w:type="dxa" w:w="1728"/>
          </w:tcPr>
          <w:p>
            <w:r>
              <w:t>100-300 г</w:t>
            </w:r>
          </w:p>
        </w:tc>
        <w:tc>
          <w:tcPr>
            <w:tcW w:type="dxa" w:w="1728"/>
          </w:tcPr>
          <w:p>
            <w:r/>
          </w:p>
        </w:tc>
      </w:tr>
      <w:tr>
        <w:tc>
          <w:tcPr>
            <w:tcW w:type="dxa" w:w="1728"/>
          </w:tcPr>
          <w:p>
            <w:r/>
          </w:p>
        </w:tc>
        <w:tc>
          <w:tcPr>
            <w:tcW w:type="dxa" w:w="1728"/>
          </w:tcPr>
          <w:p>
            <w:r/>
          </w:p>
        </w:tc>
        <w:tc>
          <w:tcPr>
            <w:tcW w:type="dxa" w:w="1728"/>
          </w:tcPr>
          <w:p>
            <w:r>
              <w:t>Вид молочного сырья</w:t>
            </w:r>
          </w:p>
        </w:tc>
        <w:tc>
          <w:tcPr>
            <w:tcW w:type="dxa" w:w="1728"/>
          </w:tcPr>
          <w:p>
            <w:r>
              <w:t>Нормализованные сливки</w:t>
            </w:r>
          </w:p>
        </w:tc>
        <w:tc>
          <w:tcPr>
            <w:tcW w:type="dxa" w:w="1728"/>
          </w:tcPr>
          <w:p>
            <w:r/>
          </w:p>
        </w:tc>
      </w:tr>
      <w:tr>
        <w:tc>
          <w:tcPr>
            <w:tcW w:type="dxa" w:w="1728"/>
          </w:tcPr>
          <w:p>
            <w:r>
              <w:t>5</w:t>
            </w:r>
          </w:p>
        </w:tc>
        <w:tc>
          <w:tcPr>
            <w:tcW w:type="dxa" w:w="1728"/>
          </w:tcPr>
          <w:p>
            <w:r>
              <w:t>Ряженка</w:t>
            </w:r>
          </w:p>
        </w:tc>
        <w:tc>
          <w:tcPr>
            <w:tcW w:type="dxa" w:w="1728"/>
          </w:tcPr>
          <w:p>
            <w:r>
              <w:t>Массовая доля белка на 100 г, %</w:t>
            </w:r>
          </w:p>
        </w:tc>
        <w:tc>
          <w:tcPr>
            <w:tcW w:type="dxa" w:w="1728"/>
          </w:tcPr>
          <w:p>
            <w:r>
              <w:t>не менее 3</w:t>
            </w:r>
          </w:p>
        </w:tc>
        <w:tc>
          <w:tcPr>
            <w:tcW w:type="dxa" w:w="1728"/>
          </w:tcPr>
          <w:p>
            <w:r/>
          </w:p>
        </w:tc>
      </w:tr>
      <w:tr>
        <w:tc>
          <w:tcPr>
            <w:tcW w:type="dxa" w:w="1728"/>
          </w:tcPr>
          <w:p>
            <w:r/>
          </w:p>
        </w:tc>
        <w:tc>
          <w:tcPr>
            <w:tcW w:type="dxa" w:w="1728"/>
          </w:tcPr>
          <w:p>
            <w:r/>
          </w:p>
        </w:tc>
        <w:tc>
          <w:tcPr>
            <w:tcW w:type="dxa" w:w="1728"/>
          </w:tcPr>
          <w:p>
            <w:r>
              <w:t>Тип молочного сырья</w:t>
            </w:r>
          </w:p>
        </w:tc>
        <w:tc>
          <w:tcPr>
            <w:tcW w:type="dxa" w:w="1728"/>
          </w:tcPr>
          <w:p>
            <w:r>
              <w:t>Нормализованное молоко</w:t>
            </w:r>
          </w:p>
        </w:tc>
        <w:tc>
          <w:tcPr>
            <w:tcW w:type="dxa" w:w="1728"/>
          </w:tcPr>
          <w:p>
            <w:r/>
          </w:p>
        </w:tc>
      </w:tr>
      <w:tr>
        <w:tc>
          <w:tcPr>
            <w:tcW w:type="dxa" w:w="1728"/>
          </w:tcPr>
          <w:p>
            <w:r/>
          </w:p>
        </w:tc>
        <w:tc>
          <w:tcPr>
            <w:tcW w:type="dxa" w:w="1728"/>
          </w:tcPr>
          <w:p>
            <w:r/>
          </w:p>
        </w:tc>
        <w:tc>
          <w:tcPr>
            <w:tcW w:type="dxa" w:w="1728"/>
          </w:tcPr>
          <w:p>
            <w:r>
              <w:t>Массовая доля жира, %</w:t>
            </w:r>
          </w:p>
        </w:tc>
        <w:tc>
          <w:tcPr>
            <w:tcW w:type="dxa" w:w="1728"/>
          </w:tcPr>
          <w:p>
            <w:r>
              <w:t>2,5</w:t>
            </w:r>
          </w:p>
        </w:tc>
        <w:tc>
          <w:tcPr>
            <w:tcW w:type="dxa" w:w="1728"/>
          </w:tcPr>
          <w:p>
            <w:r/>
          </w:p>
        </w:tc>
      </w:tr>
      <w:tr>
        <w:tc>
          <w:tcPr>
            <w:tcW w:type="dxa" w:w="1728"/>
          </w:tcPr>
          <w:p>
            <w:r/>
          </w:p>
        </w:tc>
        <w:tc>
          <w:tcPr>
            <w:tcW w:type="dxa" w:w="1728"/>
          </w:tcPr>
          <w:p>
            <w:r/>
          </w:p>
        </w:tc>
        <w:tc>
          <w:tcPr>
            <w:tcW w:type="dxa" w:w="1728"/>
          </w:tcPr>
          <w:p>
            <w:r>
              <w:t>Наличие обогащающих компонентов</w:t>
            </w:r>
          </w:p>
        </w:tc>
        <w:tc>
          <w:tcPr>
            <w:tcW w:type="dxa" w:w="1728"/>
          </w:tcPr>
          <w:p>
            <w:r>
              <w:t>Нет</w:t>
            </w:r>
          </w:p>
        </w:tc>
        <w:tc>
          <w:tcPr>
            <w:tcW w:type="dxa" w:w="1728"/>
          </w:tcPr>
          <w:p>
            <w:r/>
          </w:p>
        </w:tc>
      </w:tr>
      <w:tr>
        <w:tc>
          <w:tcPr>
            <w:tcW w:type="dxa" w:w="1728"/>
          </w:tcPr>
          <w:p>
            <w:r/>
          </w:p>
        </w:tc>
        <w:tc>
          <w:tcPr>
            <w:tcW w:type="dxa" w:w="1728"/>
          </w:tcPr>
          <w:p>
            <w:r/>
          </w:p>
        </w:tc>
        <w:tc>
          <w:tcPr>
            <w:tcW w:type="dxa" w:w="1728"/>
          </w:tcPr>
          <w:p>
            <w:r>
              <w:t>Фасовка: масса нетто</w:t>
            </w:r>
          </w:p>
        </w:tc>
        <w:tc>
          <w:tcPr>
            <w:tcW w:type="dxa" w:w="1728"/>
          </w:tcPr>
          <w:p>
            <w:r>
              <w:t>500 г</w:t>
            </w:r>
          </w:p>
        </w:tc>
        <w:tc>
          <w:tcPr>
            <w:tcW w:type="dxa" w:w="1728"/>
          </w:tcPr>
          <w:p>
            <w:r/>
          </w:p>
        </w:tc>
      </w:tr>
      <w:tr>
        <w:tc>
          <w:tcPr>
            <w:tcW w:type="dxa" w:w="1728"/>
          </w:tcPr>
          <w:p>
            <w:r>
              <w:t>6</w:t>
            </w:r>
          </w:p>
        </w:tc>
        <w:tc>
          <w:tcPr>
            <w:tcW w:type="dxa" w:w="1728"/>
          </w:tcPr>
          <w:p>
            <w:r>
              <w:t>Напиток кисломолочный йогуртный с сахаром "Снежок"</w:t>
            </w:r>
          </w:p>
        </w:tc>
        <w:tc>
          <w:tcPr>
            <w:tcW w:type="dxa" w:w="1728"/>
          </w:tcPr>
          <w:p>
            <w:r>
              <w:t>Массовая доля белка на 100 г, %</w:t>
            </w:r>
          </w:p>
        </w:tc>
        <w:tc>
          <w:tcPr>
            <w:tcW w:type="dxa" w:w="1728"/>
          </w:tcPr>
          <w:p>
            <w:r>
              <w:t>не менее 2,8</w:t>
            </w:r>
          </w:p>
        </w:tc>
        <w:tc>
          <w:tcPr>
            <w:tcW w:type="dxa" w:w="1728"/>
          </w:tcPr>
          <w:p>
            <w:r/>
          </w:p>
        </w:tc>
      </w:tr>
      <w:tr>
        <w:tc>
          <w:tcPr>
            <w:tcW w:type="dxa" w:w="1728"/>
          </w:tcPr>
          <w:p>
            <w:r/>
          </w:p>
        </w:tc>
        <w:tc>
          <w:tcPr>
            <w:tcW w:type="dxa" w:w="1728"/>
          </w:tcPr>
          <w:p>
            <w:r/>
          </w:p>
        </w:tc>
        <w:tc>
          <w:tcPr>
            <w:tcW w:type="dxa" w:w="1728"/>
          </w:tcPr>
          <w:p>
            <w:r>
              <w:t>Вид молочного сырья</w:t>
            </w:r>
          </w:p>
        </w:tc>
        <w:tc>
          <w:tcPr>
            <w:tcW w:type="dxa" w:w="1728"/>
          </w:tcPr>
          <w:p>
            <w:r>
              <w:t>Нормализованное молоко</w:t>
            </w:r>
          </w:p>
        </w:tc>
        <w:tc>
          <w:tcPr>
            <w:tcW w:type="dxa" w:w="1728"/>
          </w:tcPr>
          <w:p>
            <w:r/>
          </w:p>
        </w:tc>
      </w:tr>
      <w:tr>
        <w:tc>
          <w:tcPr>
            <w:tcW w:type="dxa" w:w="1728"/>
          </w:tcPr>
          <w:p>
            <w:r/>
          </w:p>
        </w:tc>
        <w:tc>
          <w:tcPr>
            <w:tcW w:type="dxa" w:w="1728"/>
          </w:tcPr>
          <w:p>
            <w:r/>
          </w:p>
        </w:tc>
        <w:tc>
          <w:tcPr>
            <w:tcW w:type="dxa" w:w="1728"/>
          </w:tcPr>
          <w:p>
            <w:r>
              <w:t>Массовая доля жира, %</w:t>
            </w:r>
          </w:p>
        </w:tc>
        <w:tc>
          <w:tcPr>
            <w:tcW w:type="dxa" w:w="1728"/>
          </w:tcPr>
          <w:p>
            <w:r>
              <w:t>2,5</w:t>
            </w:r>
          </w:p>
        </w:tc>
        <w:tc>
          <w:tcPr>
            <w:tcW w:type="dxa" w:w="1728"/>
          </w:tcPr>
          <w:p>
            <w:r/>
          </w:p>
        </w:tc>
      </w:tr>
      <w:tr>
        <w:tc>
          <w:tcPr>
            <w:tcW w:type="dxa" w:w="1728"/>
          </w:tcPr>
          <w:p>
            <w:r/>
          </w:p>
        </w:tc>
        <w:tc>
          <w:tcPr>
            <w:tcW w:type="dxa" w:w="1728"/>
          </w:tcPr>
          <w:p>
            <w:r/>
          </w:p>
        </w:tc>
        <w:tc>
          <w:tcPr>
            <w:tcW w:type="dxa" w:w="1728"/>
          </w:tcPr>
          <w:p>
            <w:r>
              <w:t>Фасовка: масса нетто</w:t>
            </w:r>
          </w:p>
        </w:tc>
        <w:tc>
          <w:tcPr>
            <w:tcW w:type="dxa" w:w="1728"/>
          </w:tcPr>
          <w:p>
            <w:r>
              <w:t>500 г</w:t>
            </w:r>
          </w:p>
        </w:tc>
        <w:tc>
          <w:tcPr>
            <w:tcW w:type="dxa" w:w="1728"/>
          </w:tcPr>
          <w:p>
            <w:r/>
          </w:p>
        </w:tc>
      </w:tr>
      <w:tr>
        <w:tc>
          <w:tcPr>
            <w:tcW w:type="dxa" w:w="1728"/>
          </w:tcPr>
          <w:p>
            <w:r>
              <w:t>7</w:t>
            </w:r>
          </w:p>
        </w:tc>
        <w:tc>
          <w:tcPr>
            <w:tcW w:type="dxa" w:w="1728"/>
          </w:tcPr>
          <w:p>
            <w:r>
              <w:t>Молоко питьевое</w:t>
            </w:r>
          </w:p>
        </w:tc>
        <w:tc>
          <w:tcPr>
            <w:tcW w:type="dxa" w:w="1728"/>
          </w:tcPr>
          <w:p>
            <w:r>
              <w:t>Вид молока</w:t>
            </w:r>
          </w:p>
        </w:tc>
        <w:tc>
          <w:tcPr>
            <w:tcW w:type="dxa" w:w="1728"/>
          </w:tcPr>
          <w:p>
            <w:r>
              <w:t>Коровье</w:t>
            </w:r>
          </w:p>
        </w:tc>
        <w:tc>
          <w:tcPr>
            <w:tcW w:type="dxa" w:w="1728"/>
          </w:tcPr>
          <w:p>
            <w:r/>
          </w:p>
        </w:tc>
      </w:tr>
      <w:tr>
        <w:tc>
          <w:tcPr>
            <w:tcW w:type="dxa" w:w="1728"/>
          </w:tcPr>
          <w:p>
            <w:r/>
          </w:p>
        </w:tc>
        <w:tc>
          <w:tcPr>
            <w:tcW w:type="dxa" w:w="1728"/>
          </w:tcPr>
          <w:p>
            <w:r/>
          </w:p>
        </w:tc>
        <w:tc>
          <w:tcPr>
            <w:tcW w:type="dxa" w:w="1728"/>
          </w:tcPr>
          <w:p>
            <w:r>
              <w:t>Массовая доля жира, max</w:t>
            </w:r>
          </w:p>
        </w:tc>
        <w:tc>
          <w:tcPr>
            <w:tcW w:type="dxa" w:w="1728"/>
          </w:tcPr>
          <w:p>
            <w:r>
              <w:t>&lt;= 3.2</w:t>
            </w:r>
          </w:p>
        </w:tc>
        <w:tc>
          <w:tcPr>
            <w:tcW w:type="dxa" w:w="1728"/>
          </w:tcPr>
          <w:p>
            <w:r>
              <w:t>ПРОЦ</w:t>
            </w:r>
          </w:p>
        </w:tc>
      </w:tr>
      <w:tr>
        <w:tc>
          <w:tcPr>
            <w:tcW w:type="dxa" w:w="1728"/>
          </w:tcPr>
          <w:p>
            <w:r/>
          </w:p>
        </w:tc>
        <w:tc>
          <w:tcPr>
            <w:tcW w:type="dxa" w:w="1728"/>
          </w:tcPr>
          <w:p>
            <w:r/>
          </w:p>
        </w:tc>
        <w:tc>
          <w:tcPr>
            <w:tcW w:type="dxa" w:w="1728"/>
          </w:tcPr>
          <w:p>
            <w:r>
              <w:t>Вид молочного сырья</w:t>
            </w:r>
          </w:p>
        </w:tc>
        <w:tc>
          <w:tcPr>
            <w:tcW w:type="dxa" w:w="1728"/>
          </w:tcPr>
          <w:p>
            <w:r>
              <w:t>Нормализованное</w:t>
            </w:r>
          </w:p>
        </w:tc>
        <w:tc>
          <w:tcPr>
            <w:tcW w:type="dxa" w:w="1728"/>
          </w:tcPr>
          <w:p>
            <w:r/>
          </w:p>
        </w:tc>
      </w:tr>
      <w:tr>
        <w:tc>
          <w:tcPr>
            <w:tcW w:type="dxa" w:w="1728"/>
          </w:tcPr>
          <w:p>
            <w:r/>
          </w:p>
        </w:tc>
        <w:tc>
          <w:tcPr>
            <w:tcW w:type="dxa" w:w="1728"/>
          </w:tcPr>
          <w:p>
            <w:r/>
          </w:p>
        </w:tc>
        <w:tc>
          <w:tcPr>
            <w:tcW w:type="dxa" w:w="1728"/>
          </w:tcPr>
          <w:p>
            <w:r>
              <w:t>Массовая доля жира, min</w:t>
            </w:r>
          </w:p>
        </w:tc>
        <w:tc>
          <w:tcPr>
            <w:tcW w:type="dxa" w:w="1728"/>
          </w:tcPr>
          <w:p>
            <w:r>
              <w:t>&gt;= 3.2</w:t>
            </w:r>
          </w:p>
        </w:tc>
        <w:tc>
          <w:tcPr>
            <w:tcW w:type="dxa" w:w="1728"/>
          </w:tcPr>
          <w:p>
            <w:r>
              <w:t>ПРОЦ</w:t>
            </w:r>
          </w:p>
        </w:tc>
      </w:tr>
      <w:tr>
        <w:tc>
          <w:tcPr>
            <w:tcW w:type="dxa" w:w="1728"/>
          </w:tcPr>
          <w:p>
            <w:r/>
          </w:p>
        </w:tc>
        <w:tc>
          <w:tcPr>
            <w:tcW w:type="dxa" w:w="1728"/>
          </w:tcPr>
          <w:p>
            <w:r/>
          </w:p>
        </w:tc>
        <w:tc>
          <w:tcPr>
            <w:tcW w:type="dxa" w:w="1728"/>
          </w:tcPr>
          <w:p>
            <w:r>
              <w:t>Массовая доля белка на 100 г</w:t>
            </w:r>
          </w:p>
        </w:tc>
        <w:tc>
          <w:tcPr>
            <w:tcW w:type="dxa" w:w="1728"/>
          </w:tcPr>
          <w:p>
            <w:r>
              <w:t>&gt;= 2.8</w:t>
            </w:r>
          </w:p>
        </w:tc>
        <w:tc>
          <w:tcPr>
            <w:tcW w:type="dxa" w:w="1728"/>
          </w:tcPr>
          <w:p>
            <w:r>
              <w:t>ПРОЦ</w:t>
            </w:r>
          </w:p>
        </w:tc>
      </w:tr>
      <w:tr>
        <w:tc>
          <w:tcPr>
            <w:tcW w:type="dxa" w:w="1728"/>
          </w:tcPr>
          <w:p>
            <w:r/>
          </w:p>
        </w:tc>
        <w:tc>
          <w:tcPr>
            <w:tcW w:type="dxa" w:w="1728"/>
          </w:tcPr>
          <w:p>
            <w:r/>
          </w:p>
        </w:tc>
        <w:tc>
          <w:tcPr>
            <w:tcW w:type="dxa" w:w="1728"/>
          </w:tcPr>
          <w:p>
            <w:r>
              <w:t>Вид молока по способу обработки</w:t>
            </w:r>
          </w:p>
        </w:tc>
        <w:tc>
          <w:tcPr>
            <w:tcW w:type="dxa" w:w="1728"/>
          </w:tcPr>
          <w:p>
            <w:r>
              <w:t>Пастеризованное</w:t>
            </w:r>
          </w:p>
        </w:tc>
        <w:tc>
          <w:tcPr>
            <w:tcW w:type="dxa" w:w="1728"/>
          </w:tcPr>
          <w:p>
            <w:r/>
          </w:p>
        </w:tc>
      </w:tr>
      <w:tr>
        <w:tc>
          <w:tcPr>
            <w:tcW w:type="dxa" w:w="1728"/>
          </w:tcPr>
          <w:p>
            <w:r/>
          </w:p>
        </w:tc>
        <w:tc>
          <w:tcPr>
            <w:tcW w:type="dxa" w:w="1728"/>
          </w:tcPr>
          <w:p>
            <w:r/>
          </w:p>
        </w:tc>
        <w:tc>
          <w:tcPr>
            <w:tcW w:type="dxa" w:w="1728"/>
          </w:tcPr>
          <w:p>
            <w:r>
              <w:t>Фасовка: объем, литр</w:t>
            </w:r>
          </w:p>
        </w:tc>
        <w:tc>
          <w:tcPr>
            <w:tcW w:type="dxa" w:w="1728"/>
          </w:tcPr>
          <w:p>
            <w:r>
              <w:t>не более 1</w:t>
            </w:r>
          </w:p>
        </w:tc>
        <w:tc>
          <w:tcPr>
            <w:tcW w:type="dxa" w:w="1728"/>
          </w:tcPr>
          <w:p>
            <w:r/>
          </w:p>
        </w:tc>
      </w:tr>
      <w:tr>
        <w:tc>
          <w:tcPr>
            <w:tcW w:type="dxa" w:w="1728"/>
          </w:tcPr>
          <w:p>
            <w:r>
              <w:t>8</w:t>
            </w:r>
          </w:p>
        </w:tc>
        <w:tc>
          <w:tcPr>
            <w:tcW w:type="dxa" w:w="1728"/>
          </w:tcPr>
          <w:p>
            <w:r>
              <w:t>Молоко питьевое</w:t>
            </w:r>
          </w:p>
        </w:tc>
        <w:tc>
          <w:tcPr>
            <w:tcW w:type="dxa" w:w="1728"/>
          </w:tcPr>
          <w:p>
            <w:r>
              <w:t>Фасовка: объем</w:t>
            </w:r>
          </w:p>
        </w:tc>
        <w:tc>
          <w:tcPr>
            <w:tcW w:type="dxa" w:w="1728"/>
          </w:tcPr>
          <w:p>
            <w:r>
              <w:t>0,5 литра</w:t>
            </w:r>
          </w:p>
        </w:tc>
        <w:tc>
          <w:tcPr>
            <w:tcW w:type="dxa" w:w="1728"/>
          </w:tcPr>
          <w:p>
            <w:r/>
          </w:p>
        </w:tc>
      </w:tr>
      <w:tr>
        <w:tc>
          <w:tcPr>
            <w:tcW w:type="dxa" w:w="1728"/>
          </w:tcPr>
          <w:p>
            <w:r/>
          </w:p>
        </w:tc>
        <w:tc>
          <w:tcPr>
            <w:tcW w:type="dxa" w:w="1728"/>
          </w:tcPr>
          <w:p>
            <w:r/>
          </w:p>
        </w:tc>
        <w:tc>
          <w:tcPr>
            <w:tcW w:type="dxa" w:w="1728"/>
          </w:tcPr>
          <w:p>
            <w:r>
              <w:t>Вид молока</w:t>
            </w:r>
          </w:p>
        </w:tc>
        <w:tc>
          <w:tcPr>
            <w:tcW w:type="dxa" w:w="1728"/>
          </w:tcPr>
          <w:p>
            <w:r>
              <w:t>Коровье</w:t>
            </w:r>
          </w:p>
        </w:tc>
        <w:tc>
          <w:tcPr>
            <w:tcW w:type="dxa" w:w="1728"/>
          </w:tcPr>
          <w:p>
            <w:r/>
          </w:p>
        </w:tc>
      </w:tr>
      <w:tr>
        <w:tc>
          <w:tcPr>
            <w:tcW w:type="dxa" w:w="1728"/>
          </w:tcPr>
          <w:p>
            <w:r/>
          </w:p>
        </w:tc>
        <w:tc>
          <w:tcPr>
            <w:tcW w:type="dxa" w:w="1728"/>
          </w:tcPr>
          <w:p>
            <w:r/>
          </w:p>
        </w:tc>
        <w:tc>
          <w:tcPr>
            <w:tcW w:type="dxa" w:w="1728"/>
          </w:tcPr>
          <w:p>
            <w:r>
              <w:t>Массовая доля жира, max</w:t>
            </w:r>
          </w:p>
        </w:tc>
        <w:tc>
          <w:tcPr>
            <w:tcW w:type="dxa" w:w="1728"/>
          </w:tcPr>
          <w:p>
            <w:r>
              <w:t>&lt;= 3.2</w:t>
            </w:r>
          </w:p>
        </w:tc>
        <w:tc>
          <w:tcPr>
            <w:tcW w:type="dxa" w:w="1728"/>
          </w:tcPr>
          <w:p>
            <w:r>
              <w:t>ПРОЦ</w:t>
            </w:r>
          </w:p>
        </w:tc>
      </w:tr>
      <w:tr>
        <w:tc>
          <w:tcPr>
            <w:tcW w:type="dxa" w:w="1728"/>
          </w:tcPr>
          <w:p>
            <w:r/>
          </w:p>
        </w:tc>
        <w:tc>
          <w:tcPr>
            <w:tcW w:type="dxa" w:w="1728"/>
          </w:tcPr>
          <w:p>
            <w:r/>
          </w:p>
        </w:tc>
        <w:tc>
          <w:tcPr>
            <w:tcW w:type="dxa" w:w="1728"/>
          </w:tcPr>
          <w:p>
            <w:r>
              <w:t>Вид молочного сырья</w:t>
            </w:r>
          </w:p>
        </w:tc>
        <w:tc>
          <w:tcPr>
            <w:tcW w:type="dxa" w:w="1728"/>
          </w:tcPr>
          <w:p>
            <w:r>
              <w:t>Нормализованное</w:t>
            </w:r>
          </w:p>
        </w:tc>
        <w:tc>
          <w:tcPr>
            <w:tcW w:type="dxa" w:w="1728"/>
          </w:tcPr>
          <w:p>
            <w:r/>
          </w:p>
        </w:tc>
      </w:tr>
      <w:tr>
        <w:tc>
          <w:tcPr>
            <w:tcW w:type="dxa" w:w="1728"/>
          </w:tcPr>
          <w:p>
            <w:r/>
          </w:p>
        </w:tc>
        <w:tc>
          <w:tcPr>
            <w:tcW w:type="dxa" w:w="1728"/>
          </w:tcPr>
          <w:p>
            <w:r/>
          </w:p>
        </w:tc>
        <w:tc>
          <w:tcPr>
            <w:tcW w:type="dxa" w:w="1728"/>
          </w:tcPr>
          <w:p>
            <w:r>
              <w:t>Массовая доля жира, min</w:t>
            </w:r>
          </w:p>
        </w:tc>
        <w:tc>
          <w:tcPr>
            <w:tcW w:type="dxa" w:w="1728"/>
          </w:tcPr>
          <w:p>
            <w:r>
              <w:t>&gt;= 3.2</w:t>
            </w:r>
          </w:p>
        </w:tc>
        <w:tc>
          <w:tcPr>
            <w:tcW w:type="dxa" w:w="1728"/>
          </w:tcPr>
          <w:p>
            <w:r>
              <w:t>ПРОЦ</w:t>
            </w:r>
          </w:p>
        </w:tc>
      </w:tr>
      <w:tr>
        <w:tc>
          <w:tcPr>
            <w:tcW w:type="dxa" w:w="1728"/>
          </w:tcPr>
          <w:p>
            <w:r/>
          </w:p>
        </w:tc>
        <w:tc>
          <w:tcPr>
            <w:tcW w:type="dxa" w:w="1728"/>
          </w:tcPr>
          <w:p>
            <w:r/>
          </w:p>
        </w:tc>
        <w:tc>
          <w:tcPr>
            <w:tcW w:type="dxa" w:w="1728"/>
          </w:tcPr>
          <w:p>
            <w:r>
              <w:t>Массовая доля белка на 100 г</w:t>
            </w:r>
          </w:p>
        </w:tc>
        <w:tc>
          <w:tcPr>
            <w:tcW w:type="dxa" w:w="1728"/>
          </w:tcPr>
          <w:p>
            <w:r>
              <w:t>&gt;= 2.8</w:t>
            </w:r>
          </w:p>
        </w:tc>
        <w:tc>
          <w:tcPr>
            <w:tcW w:type="dxa" w:w="1728"/>
          </w:tcPr>
          <w:p>
            <w:r>
              <w:t>ПРОЦ</w:t>
            </w:r>
          </w:p>
        </w:tc>
      </w:tr>
      <w:tr>
        <w:tc>
          <w:tcPr>
            <w:tcW w:type="dxa" w:w="1728"/>
          </w:tcPr>
          <w:p>
            <w:r/>
          </w:p>
        </w:tc>
        <w:tc>
          <w:tcPr>
            <w:tcW w:type="dxa" w:w="1728"/>
          </w:tcPr>
          <w:p>
            <w:r/>
          </w:p>
        </w:tc>
        <w:tc>
          <w:tcPr>
            <w:tcW w:type="dxa" w:w="1728"/>
          </w:tcPr>
          <w:p>
            <w:r>
              <w:t>Вид молока по способу обработки</w:t>
            </w:r>
          </w:p>
        </w:tc>
        <w:tc>
          <w:tcPr>
            <w:tcW w:type="dxa" w:w="1728"/>
          </w:tcPr>
          <w:p>
            <w:r>
              <w:t>Пастеризованное</w:t>
            </w:r>
          </w:p>
        </w:tc>
        <w:tc>
          <w:tcPr>
            <w:tcW w:type="dxa" w:w="1728"/>
          </w:tcPr>
          <w:p>
            <w:r/>
          </w:p>
        </w:tc>
      </w:tr>
      <w:tr>
        <w:tc>
          <w:tcPr>
            <w:tcW w:type="dxa" w:w="1728"/>
          </w:tcPr>
          <w:p>
            <w:r>
              <w:t>9</w:t>
            </w:r>
          </w:p>
        </w:tc>
        <w:tc>
          <w:tcPr>
            <w:tcW w:type="dxa" w:w="1728"/>
          </w:tcPr>
          <w:p>
            <w:r>
              <w:t>Масло сливочное</w:t>
            </w:r>
          </w:p>
        </w:tc>
        <w:tc>
          <w:tcPr>
            <w:tcW w:type="dxa" w:w="1728"/>
          </w:tcPr>
          <w:p>
            <w:r>
              <w:t>Фасовка: масса нетто</w:t>
            </w:r>
          </w:p>
        </w:tc>
        <w:tc>
          <w:tcPr>
            <w:tcW w:type="dxa" w:w="1728"/>
          </w:tcPr>
          <w:p>
            <w:r>
              <w:t>не более 20 кг</w:t>
            </w:r>
          </w:p>
        </w:tc>
        <w:tc>
          <w:tcPr>
            <w:tcW w:type="dxa" w:w="1728"/>
          </w:tcPr>
          <w:p>
            <w:r/>
          </w:p>
        </w:tc>
      </w:tr>
      <w:tr>
        <w:tc>
          <w:tcPr>
            <w:tcW w:type="dxa" w:w="1728"/>
          </w:tcPr>
          <w:p>
            <w:r/>
          </w:p>
        </w:tc>
        <w:tc>
          <w:tcPr>
            <w:tcW w:type="dxa" w:w="1728"/>
          </w:tcPr>
          <w:p>
            <w:r/>
          </w:p>
        </w:tc>
        <w:tc>
          <w:tcPr>
            <w:tcW w:type="dxa" w:w="1728"/>
          </w:tcPr>
          <w:p>
            <w:r>
              <w:t>Наименование сливочного масла</w:t>
            </w:r>
          </w:p>
        </w:tc>
        <w:tc>
          <w:tcPr>
            <w:tcW w:type="dxa" w:w="1728"/>
          </w:tcPr>
          <w:p>
            <w:r>
              <w:t>Крестьянское</w:t>
            </w:r>
          </w:p>
        </w:tc>
        <w:tc>
          <w:tcPr>
            <w:tcW w:type="dxa" w:w="1728"/>
          </w:tcPr>
          <w:p>
            <w:r/>
          </w:p>
        </w:tc>
      </w:tr>
      <w:tr>
        <w:tc>
          <w:tcPr>
            <w:tcW w:type="dxa" w:w="1728"/>
          </w:tcPr>
          <w:p>
            <w:r/>
          </w:p>
        </w:tc>
        <w:tc>
          <w:tcPr>
            <w:tcW w:type="dxa" w:w="1728"/>
          </w:tcPr>
          <w:p>
            <w:r/>
          </w:p>
        </w:tc>
        <w:tc>
          <w:tcPr>
            <w:tcW w:type="dxa" w:w="1728"/>
          </w:tcPr>
          <w:p>
            <w:r>
              <w:t>Массовая доля влаги, %</w:t>
            </w:r>
          </w:p>
        </w:tc>
        <w:tc>
          <w:tcPr>
            <w:tcW w:type="dxa" w:w="1728"/>
          </w:tcPr>
          <w:p>
            <w:r>
              <w:t>не более 25</w:t>
            </w:r>
          </w:p>
        </w:tc>
        <w:tc>
          <w:tcPr>
            <w:tcW w:type="dxa" w:w="1728"/>
          </w:tcPr>
          <w:p>
            <w:r/>
          </w:p>
        </w:tc>
      </w:tr>
      <w:tr>
        <w:tc>
          <w:tcPr>
            <w:tcW w:type="dxa" w:w="1728"/>
          </w:tcPr>
          <w:p>
            <w:r/>
          </w:p>
        </w:tc>
        <w:tc>
          <w:tcPr>
            <w:tcW w:type="dxa" w:w="1728"/>
          </w:tcPr>
          <w:p>
            <w:r/>
          </w:p>
        </w:tc>
        <w:tc>
          <w:tcPr>
            <w:tcW w:type="dxa" w:w="1728"/>
          </w:tcPr>
          <w:p>
            <w:r>
              <w:t>Сорт</w:t>
            </w:r>
          </w:p>
        </w:tc>
        <w:tc>
          <w:tcPr>
            <w:tcW w:type="dxa" w:w="1728"/>
          </w:tcPr>
          <w:p>
            <w:r>
              <w:t>Высший</w:t>
            </w:r>
          </w:p>
        </w:tc>
        <w:tc>
          <w:tcPr>
            <w:tcW w:type="dxa" w:w="1728"/>
          </w:tcPr>
          <w:p>
            <w:r/>
          </w:p>
        </w:tc>
      </w:tr>
      <w:tr>
        <w:tc>
          <w:tcPr>
            <w:tcW w:type="dxa" w:w="1728"/>
          </w:tcPr>
          <w:p>
            <w:r/>
          </w:p>
        </w:tc>
        <w:tc>
          <w:tcPr>
            <w:tcW w:type="dxa" w:w="1728"/>
          </w:tcPr>
          <w:p>
            <w:r/>
          </w:p>
        </w:tc>
        <w:tc>
          <w:tcPr>
            <w:tcW w:type="dxa" w:w="1728"/>
          </w:tcPr>
          <w:p>
            <w:r>
              <w:t>Вид сливочного масла</w:t>
            </w:r>
          </w:p>
        </w:tc>
        <w:tc>
          <w:tcPr>
            <w:tcW w:type="dxa" w:w="1728"/>
          </w:tcPr>
          <w:p>
            <w:r>
              <w:t>Сладко-сливочное</w:t>
            </w:r>
          </w:p>
        </w:tc>
        <w:tc>
          <w:tcPr>
            <w:tcW w:type="dxa" w:w="1728"/>
          </w:tcPr>
          <w:p>
            <w:r/>
          </w:p>
        </w:tc>
      </w:tr>
      <w:tr>
        <w:tc>
          <w:tcPr>
            <w:tcW w:type="dxa" w:w="1728"/>
          </w:tcPr>
          <w:p>
            <w:r/>
          </w:p>
        </w:tc>
        <w:tc>
          <w:tcPr>
            <w:tcW w:type="dxa" w:w="1728"/>
          </w:tcPr>
          <w:p>
            <w:r/>
          </w:p>
        </w:tc>
        <w:tc>
          <w:tcPr>
            <w:tcW w:type="dxa" w:w="1728"/>
          </w:tcPr>
          <w:p>
            <w:r>
              <w:t>Массовая доля жира, min</w:t>
            </w:r>
          </w:p>
        </w:tc>
        <w:tc>
          <w:tcPr>
            <w:tcW w:type="dxa" w:w="1728"/>
          </w:tcPr>
          <w:p>
            <w:r>
              <w:t>&gt;= 72.5</w:t>
            </w:r>
          </w:p>
        </w:tc>
        <w:tc>
          <w:tcPr>
            <w:tcW w:type="dxa" w:w="1728"/>
          </w:tcPr>
          <w:p>
            <w:r>
              <w:t>ПРОЦ</w:t>
            </w:r>
          </w:p>
        </w:tc>
      </w:tr>
      <w:tr>
        <w:tc>
          <w:tcPr>
            <w:tcW w:type="dxa" w:w="1728"/>
          </w:tcPr>
          <w:p>
            <w:r/>
          </w:p>
        </w:tc>
        <w:tc>
          <w:tcPr>
            <w:tcW w:type="dxa" w:w="1728"/>
          </w:tcPr>
          <w:p>
            <w:r/>
          </w:p>
        </w:tc>
        <w:tc>
          <w:tcPr>
            <w:tcW w:type="dxa" w:w="1728"/>
          </w:tcPr>
          <w:p>
            <w:r>
              <w:t>Тип сливочного масла</w:t>
            </w:r>
          </w:p>
        </w:tc>
        <w:tc>
          <w:tcPr>
            <w:tcW w:type="dxa" w:w="1728"/>
          </w:tcPr>
          <w:p>
            <w:r>
              <w:t>Несоленое</w:t>
            </w:r>
          </w:p>
        </w:tc>
        <w:tc>
          <w:tcPr>
            <w:tcW w:type="dxa" w:w="1728"/>
          </w:tcPr>
          <w:p>
            <w:r/>
          </w:p>
        </w:tc>
      </w:tr>
      <w:tr>
        <w:tc>
          <w:tcPr>
            <w:tcW w:type="dxa" w:w="1728"/>
          </w:tcPr>
          <w:p>
            <w:r/>
          </w:p>
        </w:tc>
        <w:tc>
          <w:tcPr>
            <w:tcW w:type="dxa" w:w="1728"/>
          </w:tcPr>
          <w:p>
            <w:r/>
          </w:p>
        </w:tc>
        <w:tc>
          <w:tcPr>
            <w:tcW w:type="dxa" w:w="1728"/>
          </w:tcPr>
          <w:p>
            <w:r>
              <w:t>Массовая доля жира, max</w:t>
            </w:r>
          </w:p>
        </w:tc>
        <w:tc>
          <w:tcPr>
            <w:tcW w:type="dxa" w:w="1728"/>
          </w:tcPr>
          <w:p>
            <w:r>
              <w:t>&lt;= 72.5</w:t>
            </w:r>
          </w:p>
        </w:tc>
        <w:tc>
          <w:tcPr>
            <w:tcW w:type="dxa" w:w="1728"/>
          </w:tcPr>
          <w:p>
            <w:r>
              <w:t>ПРОЦ</w:t>
            </w:r>
          </w:p>
        </w:tc>
      </w:tr>
      <w:tr>
        <w:tc>
          <w:tcPr>
            <w:tcW w:type="dxa" w:w="1728"/>
          </w:tcPr>
          <w:p>
            <w:r>
              <w:t>10</w:t>
            </w:r>
          </w:p>
        </w:tc>
        <w:tc>
          <w:tcPr>
            <w:tcW w:type="dxa" w:w="1728"/>
          </w:tcPr>
          <w:p>
            <w:r>
              <w:t>Кефир</w:t>
            </w:r>
          </w:p>
        </w:tc>
        <w:tc>
          <w:tcPr>
            <w:tcW w:type="dxa" w:w="1728"/>
          </w:tcPr>
          <w:p>
            <w:r>
              <w:t>Массовая доля белка на 100 г, %</w:t>
            </w:r>
          </w:p>
        </w:tc>
        <w:tc>
          <w:tcPr>
            <w:tcW w:type="dxa" w:w="1728"/>
          </w:tcPr>
          <w:p>
            <w:r>
              <w:t>не менее 3</w:t>
            </w:r>
          </w:p>
        </w:tc>
        <w:tc>
          <w:tcPr>
            <w:tcW w:type="dxa" w:w="1728"/>
          </w:tcPr>
          <w:p>
            <w:r/>
          </w:p>
        </w:tc>
      </w:tr>
      <w:tr>
        <w:tc>
          <w:tcPr>
            <w:tcW w:type="dxa" w:w="1728"/>
          </w:tcPr>
          <w:p>
            <w:r/>
          </w:p>
        </w:tc>
        <w:tc>
          <w:tcPr>
            <w:tcW w:type="dxa" w:w="1728"/>
          </w:tcPr>
          <w:p>
            <w:r/>
          </w:p>
        </w:tc>
        <w:tc>
          <w:tcPr>
            <w:tcW w:type="dxa" w:w="1728"/>
          </w:tcPr>
          <w:p>
            <w:r>
              <w:t>Наличие обогащающих компонентов</w:t>
            </w:r>
          </w:p>
        </w:tc>
        <w:tc>
          <w:tcPr>
            <w:tcW w:type="dxa" w:w="1728"/>
          </w:tcPr>
          <w:p>
            <w:r>
              <w:t>Нет</w:t>
            </w:r>
          </w:p>
        </w:tc>
        <w:tc>
          <w:tcPr>
            <w:tcW w:type="dxa" w:w="1728"/>
          </w:tcPr>
          <w:p>
            <w:r/>
          </w:p>
        </w:tc>
      </w:tr>
      <w:tr>
        <w:tc>
          <w:tcPr>
            <w:tcW w:type="dxa" w:w="1728"/>
          </w:tcPr>
          <w:p>
            <w:r/>
          </w:p>
        </w:tc>
        <w:tc>
          <w:tcPr>
            <w:tcW w:type="dxa" w:w="1728"/>
          </w:tcPr>
          <w:p>
            <w:r/>
          </w:p>
        </w:tc>
        <w:tc>
          <w:tcPr>
            <w:tcW w:type="dxa" w:w="1728"/>
          </w:tcPr>
          <w:p>
            <w:r>
              <w:t>Массовая доля жира</w:t>
            </w:r>
          </w:p>
        </w:tc>
        <w:tc>
          <w:tcPr>
            <w:tcW w:type="dxa" w:w="1728"/>
          </w:tcPr>
          <w:p>
            <w:r>
              <w:t>2.5</w:t>
            </w:r>
          </w:p>
        </w:tc>
        <w:tc>
          <w:tcPr>
            <w:tcW w:type="dxa" w:w="1728"/>
          </w:tcPr>
          <w:p>
            <w:r>
              <w:t>ПРОЦ</w:t>
            </w:r>
          </w:p>
        </w:tc>
      </w:tr>
      <w:tr>
        <w:tc>
          <w:tcPr>
            <w:tcW w:type="dxa" w:w="1728"/>
          </w:tcPr>
          <w:p>
            <w:r/>
          </w:p>
        </w:tc>
        <w:tc>
          <w:tcPr>
            <w:tcW w:type="dxa" w:w="1728"/>
          </w:tcPr>
          <w:p>
            <w:r/>
          </w:p>
        </w:tc>
        <w:tc>
          <w:tcPr>
            <w:tcW w:type="dxa" w:w="1728"/>
          </w:tcPr>
          <w:p>
            <w:r>
              <w:t>Фасовка: масса нетто</w:t>
            </w:r>
          </w:p>
        </w:tc>
        <w:tc>
          <w:tcPr>
            <w:tcW w:type="dxa" w:w="1728"/>
          </w:tcPr>
          <w:p>
            <w:r>
              <w:t>500 г</w:t>
            </w:r>
          </w:p>
        </w:tc>
        <w:tc>
          <w:tcPr>
            <w:tcW w:type="dxa" w:w="1728"/>
          </w:tcPr>
          <w:p>
            <w:r/>
          </w:p>
        </w:tc>
      </w:tr>
      <w:tr>
        <w:tc>
          <w:tcPr>
            <w:tcW w:type="dxa" w:w="1728"/>
          </w:tcPr>
          <w:p>
            <w:r/>
          </w:p>
        </w:tc>
        <w:tc>
          <w:tcPr>
            <w:tcW w:type="dxa" w:w="1728"/>
          </w:tcPr>
          <w:p>
            <w:r/>
          </w:p>
        </w:tc>
        <w:tc>
          <w:tcPr>
            <w:tcW w:type="dxa" w:w="1728"/>
          </w:tcPr>
          <w:p>
            <w:r>
              <w:t>Вид молочного сырья</w:t>
            </w:r>
          </w:p>
        </w:tc>
        <w:tc>
          <w:tcPr>
            <w:tcW w:type="dxa" w:w="1728"/>
          </w:tcPr>
          <w:p>
            <w:r>
              <w:t>Нормализованное молоко</w:t>
            </w:r>
          </w:p>
        </w:tc>
        <w:tc>
          <w:tcPr>
            <w:tcW w:type="dxa" w:w="1728"/>
          </w:tcPr>
          <w:p>
            <w:r/>
          </w:p>
        </w:tc>
      </w:tr>
      <w:tr>
        <w:tc>
          <w:tcPr>
            <w:tcW w:type="dxa" w:w="1728"/>
          </w:tcPr>
          <w:p>
            <w:r>
              <w:t>11</w:t>
            </w:r>
          </w:p>
        </w:tc>
        <w:tc>
          <w:tcPr>
            <w:tcW w:type="dxa" w:w="1728"/>
          </w:tcPr>
          <w:p>
            <w:r>
              <w:t>Бифилайф для детского питания</w:t>
            </w:r>
          </w:p>
        </w:tc>
        <w:tc>
          <w:tcPr>
            <w:tcW w:type="dxa" w:w="1728"/>
          </w:tcPr>
          <w:p>
            <w:r>
              <w:t>Массовая доля белка на 100 г, %</w:t>
            </w:r>
          </w:p>
        </w:tc>
        <w:tc>
          <w:tcPr>
            <w:tcW w:type="dxa" w:w="1728"/>
          </w:tcPr>
          <w:p>
            <w:r>
              <w:t>не менее 2,8</w:t>
            </w:r>
          </w:p>
        </w:tc>
        <w:tc>
          <w:tcPr>
            <w:tcW w:type="dxa" w:w="1728"/>
          </w:tcPr>
          <w:p>
            <w:r/>
          </w:p>
        </w:tc>
      </w:tr>
      <w:tr>
        <w:tc>
          <w:tcPr>
            <w:tcW w:type="dxa" w:w="1728"/>
          </w:tcPr>
          <w:p>
            <w:r/>
          </w:p>
        </w:tc>
        <w:tc>
          <w:tcPr>
            <w:tcW w:type="dxa" w:w="1728"/>
          </w:tcPr>
          <w:p>
            <w:r/>
          </w:p>
        </w:tc>
        <w:tc>
          <w:tcPr>
            <w:tcW w:type="dxa" w:w="1728"/>
          </w:tcPr>
          <w:p>
            <w:r>
              <w:t>Вид молочного сырья</w:t>
            </w:r>
          </w:p>
        </w:tc>
        <w:tc>
          <w:tcPr>
            <w:tcW w:type="dxa" w:w="1728"/>
          </w:tcPr>
          <w:p>
            <w:r>
              <w:t>Нормализованное молоко</w:t>
            </w:r>
          </w:p>
        </w:tc>
        <w:tc>
          <w:tcPr>
            <w:tcW w:type="dxa" w:w="1728"/>
          </w:tcPr>
          <w:p>
            <w:r/>
          </w:p>
        </w:tc>
      </w:tr>
      <w:tr>
        <w:tc>
          <w:tcPr>
            <w:tcW w:type="dxa" w:w="1728"/>
          </w:tcPr>
          <w:p>
            <w:r/>
          </w:p>
        </w:tc>
        <w:tc>
          <w:tcPr>
            <w:tcW w:type="dxa" w:w="1728"/>
          </w:tcPr>
          <w:p>
            <w:r/>
          </w:p>
        </w:tc>
        <w:tc>
          <w:tcPr>
            <w:tcW w:type="dxa" w:w="1728"/>
          </w:tcPr>
          <w:p>
            <w:r>
              <w:t>Массовая доля жира, %</w:t>
            </w:r>
          </w:p>
        </w:tc>
        <w:tc>
          <w:tcPr>
            <w:tcW w:type="dxa" w:w="1728"/>
          </w:tcPr>
          <w:p>
            <w:r>
              <w:t>2,5</w:t>
            </w:r>
          </w:p>
        </w:tc>
        <w:tc>
          <w:tcPr>
            <w:tcW w:type="dxa" w:w="1728"/>
          </w:tcPr>
          <w:p>
            <w:r/>
          </w:p>
        </w:tc>
      </w:tr>
      <w:tr>
        <w:tc>
          <w:tcPr>
            <w:tcW w:type="dxa" w:w="1728"/>
          </w:tcPr>
          <w:p>
            <w:r/>
          </w:p>
        </w:tc>
        <w:tc>
          <w:tcPr>
            <w:tcW w:type="dxa" w:w="1728"/>
          </w:tcPr>
          <w:p>
            <w:r/>
          </w:p>
        </w:tc>
        <w:tc>
          <w:tcPr>
            <w:tcW w:type="dxa" w:w="1728"/>
          </w:tcPr>
          <w:p>
            <w:r>
              <w:t>Наличие обогащающих компонентов</w:t>
            </w:r>
          </w:p>
        </w:tc>
        <w:tc>
          <w:tcPr>
            <w:tcW w:type="dxa" w:w="1728"/>
          </w:tcPr>
          <w:p>
            <w:r>
              <w:t>да</w:t>
            </w:r>
          </w:p>
        </w:tc>
        <w:tc>
          <w:tcPr>
            <w:tcW w:type="dxa" w:w="1728"/>
          </w:tcPr>
          <w:p>
            <w:r/>
          </w:p>
        </w:tc>
      </w:tr>
      <w:tr>
        <w:tc>
          <w:tcPr>
            <w:tcW w:type="dxa" w:w="1728"/>
          </w:tcPr>
          <w:p>
            <w:r/>
          </w:p>
        </w:tc>
        <w:tc>
          <w:tcPr>
            <w:tcW w:type="dxa" w:w="1728"/>
          </w:tcPr>
          <w:p>
            <w:r/>
          </w:p>
        </w:tc>
        <w:tc>
          <w:tcPr>
            <w:tcW w:type="dxa" w:w="1728"/>
          </w:tcPr>
          <w:p>
            <w:r>
              <w:t>Фасовка: масса нетто</w:t>
            </w:r>
          </w:p>
        </w:tc>
        <w:tc>
          <w:tcPr>
            <w:tcW w:type="dxa" w:w="1728"/>
          </w:tcPr>
          <w:p>
            <w:r>
              <w:t>210 г</w:t>
            </w:r>
          </w:p>
        </w:tc>
        <w:tc>
          <w:tcPr>
            <w:tcW w:type="dxa" w:w="1728"/>
          </w:tcPr>
          <w:p>
            <w:r/>
          </w:p>
        </w:tc>
      </w:tr>
      <w:tr>
        <w:tc>
          <w:tcPr>
            <w:tcW w:type="dxa" w:w="1728"/>
          </w:tcPr>
          <w:p>
            <w:r/>
          </w:p>
        </w:tc>
        <w:tc>
          <w:tcPr>
            <w:tcW w:type="dxa" w:w="1728"/>
          </w:tcPr>
          <w:p>
            <w:r/>
          </w:p>
        </w:tc>
        <w:tc>
          <w:tcPr>
            <w:tcW w:type="dxa" w:w="1728"/>
          </w:tcPr>
          <w:p>
            <w:r>
              <w:t>Вид вкусового компонента</w:t>
            </w:r>
          </w:p>
        </w:tc>
        <w:tc>
          <w:tcPr>
            <w:tcW w:type="dxa" w:w="1728"/>
          </w:tcPr>
          <w:p>
            <w:r>
              <w:t>Фруктовый наполнитель</w:t>
            </w:r>
          </w:p>
        </w:tc>
        <w:tc>
          <w:tcPr>
            <w:tcW w:type="dxa" w:w="1728"/>
          </w:tcPr>
          <w:p>
            <w:r/>
          </w:p>
        </w:tc>
      </w:tr>
    </w:tbl>
    <w:p>
      <w:r>
        <w:t>В соответствии с пунктом 1.1 проекта контракта Поставщик обязуется создать, модернизировать, освоить производство на территории Пензенской области продуктов питания (молока и молочной продукции) (далее – Товар) в соответствии со Спецификацией (Приложение № 1 к настоящему Контракту) и Описанием объекта закупки (Приложение № 2 к настоящему Контракту) на производственной площадке, предназначенной для производства такого Товара (далее - Объект), в соответствии с обязательствами Поставщика по исполнению инвестиционных обязательств, указанными в разделе 2 и 3 настоящего Контракта.</w:t>
      </w:r>
    </w:p>
    <w:p>
      <w:r>
        <w:t>Пунктом 1.4 проекта контракта предусмотрено, что перечень и минимальное количество Товара, производство которого должно быть обеспечено создаваемым, модернизируемым, осваиваемым производством на территории Пензенской области установлены Приложением № 5 к Контракту.</w:t>
      </w:r>
    </w:p>
    <w:p>
      <w:r>
        <w:t>Параграфом 2 проекта контракта определены общие условия исполнения поставщиком инвестиционных обязательств.</w:t>
      </w:r>
    </w:p>
    <w:p>
      <w:r>
        <w:t>Так, в силу пункта 2.1 проекта контракта Поставщик обязуется осуществить на территории Пензенской области инвестиции в создание, модернизацию, освоение производства Товара на территории Пензенской области в сумме не менее 100 (Ста) миллионов рублей (включая НДС) в целом в рамках совместной закупки, проведенной на основании Распоряжения Правительства Пензенской области, в максимальный срок не более 6 (Шести) месяцев с даты заключения Контракта, а также выполнить в установленные сроки обязательства, предусмотренные разделом 2 настоящего Контракта в порядке и с учетом этапов согласно разделу 3 настоящего Контракта (далее – Инвестиции).</w:t>
      </w:r>
    </w:p>
    <w:p>
      <w:r>
        <w:t>Под созданием, модернизацией, освоением производства на территории Пензенской области Товара понимаются следующие действия: поставка, монтаж, пусконаладка, валидация оборудования, валидация производства, испытание стабильности оборудования (далее – Инвестиционные обязательства). Учету в целях исполнения встречных инвестиционных обязательств по Контракту подлежат инвестиции, осуществленные Поставщиком в создание, модернизацию, освоение на территории Пензенской области производства Товара, который указан в Спецификации (Приложение № 1 к настоящему Контракту), с даты заключения Контракта между Заказчиком и Поставщиком без учета объема средств, направленных на приобретение объектов капитального строительства и (или) земельных участков (прав на объекты капитального строительства и (или) земельные участки) (пункт 2.3 проекта контракта).</w:t>
      </w:r>
    </w:p>
    <w:p>
      <w:r>
        <w:t>Согласно пункту 2.6 проекта контракта поставляемый по настоящему Контракту Товар должен быть выпущен на созданном, модернизированном, освоенном производстве, расположенном на территории Пензенской области и являться товаром российского происхождения, соответствующего критериям подтверждения производства российской промышленной продукции, установленным в соответствии с Федеральным законом от 31.12.2014 № 488-ФЗ «О промышленной политике в Российской Федерации»,</w:t>
      </w:r>
    </w:p>
    <w:p>
      <w:r>
        <w:t>Максимальное количество Товара, поставку которого Поставщик вправе осуществить в течение одного календарного года при исполнении контрактов, заключенных в соответствии с пунктом 48 части 1 статьи 93 Федерального закона от 05.04.2013 № 44-ФЗ, не должно превышать тридцати процентов количества такого Товара, произведенных Поставщиком в течение календарного года (пункт 2.7 проекта контракта).</w:t>
      </w:r>
    </w:p>
    <w:p>
      <w:r>
        <w:t>В соответствии с пунктом 6.1 проекта контракта срок действия настоящего Контракта составляет 10 (десять) лет.</w:t>
      </w:r>
    </w:p>
    <w:p>
      <w:r>
        <w:t>Таким образом, изучив проекты контрактов Комиссия Управления приходит к выводу, что основополагающие определенные ими условия, в том числе, о сроке действия контрактов, объеме инвестиций, сроке их реализации, соответствуют положениям части 2 статьи 111.4 Закона о контрактной системе, что не отрицает и заявитель.</w:t>
      </w:r>
    </w:p>
    <w:p>
      <w:r>
        <w:t>В составе извещения об осуществлении закупки размещен электронный документ «Порядок рассмотрения и оценки заявок на участие в конкурсе», которым установлены критерии и показатели оценки заявок на участие в закупке, а также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 (раздел 3) (далее - Порядок оценки).</w:t>
      </w:r>
    </w:p>
    <w:p>
      <w:r>
        <w:t>В соответствии с Порядком оценки заказчиком установлено 2 критерия оценки заявок, предусмотренные подпунктами «а» и «г» пункта 3 Положения об оценке:</w:t>
      </w:r>
    </w:p>
    <w:p>
      <w:r>
        <w:t>Цена контракта, сумма цен единиц товара, работы, услуги - 40 %,</w:t>
      </w:r>
    </w:p>
    <w:p>
      <w:r>
        <w:t>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 - 60%.</w:t>
      </w:r>
    </w:p>
    <w:p>
      <w:r>
        <w:t>В отношении критерия оценки «Квалификация участников закупки» установлены детализирующие показатели:</w:t>
      </w:r>
    </w:p>
    <w:p>
      <w:r>
        <w:t>1. Наличие у участников закупки финансовых ресурсов (значимость 50) –</w:t>
      </w:r>
    </w:p>
    <w:p>
      <w:r>
        <w:t>1.1. наличие у участников закупки финансовых ресурсов (значимость 100)</w:t>
      </w:r>
    </w:p>
    <w:p>
      <w:r>
        <w:t>Оценка заявок осуществляется в совокупности следующих показателей:</w:t>
      </w:r>
    </w:p>
    <w:p>
      <w:r>
        <w:t>- чистая прибыль за отчетный год, предшествующий дате подачи заявки на конкурс в размере не менее 100 млн. рублей;</w:t>
      </w:r>
    </w:p>
    <w:p>
      <w:r>
        <w:t>Оценка результатов показателей в соответствии с пунктом 23 Положения:</w:t>
      </w:r>
    </w:p>
    <w:p>
      <w:r>
        <w:t>Предоставление форм отчетности в размере установленного уровня показателей -100 баллов.</w:t>
      </w:r>
    </w:p>
    <w:p>
      <w:r>
        <w:t>Предоставление форм отчетности в размере ниже установленного уровня показателей или непредставление документов отчетности – 0 баллов.</w:t>
      </w:r>
    </w:p>
    <w:p>
      <w:r>
        <w:t>По детализирующему показателю «Наличие у участников закупки финансовых ресурсов» оценивается наличие или отсутствие финансовых ресурсов участника подтвержденных формами документов:</w:t>
      </w:r>
    </w:p>
    <w:p>
      <w:r>
        <w:t>«Отчёт о финансовых результатах» с отметкой ИФНС о приеме за отчетный год, предшествующий дате подачи заявки на участие в конкурсе;</w:t>
      </w:r>
    </w:p>
    <w:p>
      <w:r>
        <w:t>2. Наличие у участников закупки на праве собственности или ином законном основании оборудования и других материальных ресурсов (значимость 50)</w:t>
      </w:r>
    </w:p>
    <w:p>
      <w:r>
        <w:t>2.1. наличие автотранспортных средств, предназначенных для перевозки пищевых продуктов (значимость 50)</w:t>
      </w:r>
    </w:p>
    <w:p>
      <w:r>
        <w:t>Оценка заявок осуществляется в соответствии пп. «ж» пункта 20 Положения:</w:t>
      </w:r>
    </w:p>
    <w:p>
      <w:r>
        <w:t>В случае, если лучшим является наибольшее значение характеристики объекта закупки и установлено предельное минимальное значение () характеристики объекта закупки, значение количества баллов рассчитывается по формуле:</w:t>
      </w:r>
    </w:p>
    <w:p>
      <w:r>
        <w:t>где:</w:t>
      </w:r>
    </w:p>
    <w:p>
      <w:r>
        <w:t>Хi - значение характеристики «Наличие автотранспортных средств, предназначенных для перевозки пищевых продуктов», содержащееся в предложении участника закупки, заявка (часть заявки) которого подлежит в соответствии с Законом оценке;</w:t>
      </w:r>
    </w:p>
    <w:p>
      <w:r>
        <w:t>Хmax - максимальное значение характеристики «Наличие автотранспортных средств, предназначенных для перевозки пищевых продуктов», содержащееся в заявках (частях заявок), подлежащих в соответствии с Федеральным законом оценке по критерию оценки «квалификация участников закупки»;</w:t>
      </w:r>
    </w:p>
    <w:p>
      <w:r>
        <w:t>- предельное минимальное значение показателя, установленное заказчиком, равное 10 автотранспортным средствам.</w:t>
      </w:r>
    </w:p>
    <w:p>
      <w:r>
        <w:t>По детализирующему показателю «Наличие автотранспортных средств, предназначенных для перевозки пищевых продуктов» оценивается количество автотранспортных средств, предназначенных для перевозки пищевых продуктов.</w:t>
      </w:r>
    </w:p>
    <w:p>
      <w:r>
        <w:t>Значение количества баллов по детализирующему показателю, присваиваемых заявке, подлежащей в соответствии с Федеральным законом от 05.04.2013 № 44-ФЗ оценке, рассчитывается по формуле, указанной в п.2 раздела II настоящего порядка рассмотрения и оценки заявок на участие в конкурсе.</w:t>
      </w:r>
    </w:p>
    <w:p>
      <w:r>
        <w:t>Лучшим является наибольшее значение детализирующего показателя.</w:t>
      </w:r>
    </w:p>
    <w:p>
      <w:r>
        <w:t>Предельное минимальное значение показателя, установленное заказчиком: 10 автотранспортных средств.</w:t>
      </w:r>
    </w:p>
    <w:p>
      <w:r>
        <w:t>Если в предложении участника закупки содержится значение показателя, которое ниже предельного минимального значения показателя, баллы по детализирующему показателю присваиваются в размере, предусмотренном для соответствующего предельного значения показателя.</w:t>
      </w:r>
    </w:p>
    <w:p>
      <w:r>
        <w:t>К оценке принимаются следующие документы:</w:t>
      </w:r>
    </w:p>
    <w:p>
      <w:r>
        <w:t>1) в случае если материально-технические ресурсы у участника закупки в наличии на ином законном основании:</w:t>
      </w:r>
    </w:p>
    <w:p>
      <w:r>
        <w:t>- договоры аренды (лизинга), безвозмездного пользования, субаренды на срок исполнения контракта с приложением актов, подтверждающих наличие у участника закупки оборудования и других материальных ресурсов (при отсутствии оборудования и других материальных ресурсов в собственности участника закупки) ;</w:t>
      </w:r>
    </w:p>
    <w:p>
      <w:r>
        <w:t>2) в случае если материально-технические ресурсы у участника закупки в собственности:</w:t>
      </w:r>
    </w:p>
    <w:p>
      <w:r>
        <w:t>- инвентарные карточки учета объектов основных средств унифицированной формы ОС-6 (при наличии оборудования и других материальных ресурсов в собственности участника закупки);</w:t>
      </w:r>
    </w:p>
    <w:p>
      <w:r>
        <w:t>Непредоставление, указанных документов не является основанием для отказа в допуске к участию в конкурсе.</w:t>
      </w:r>
    </w:p>
    <w:p>
      <w:r>
        <w:t>В случае отсутствия в составе заявки участника документов, подтверждающих наличие материально-технических ресурсов, оценивается в 0 баллов.</w:t>
      </w:r>
    </w:p>
    <w:p>
      <w:r>
        <w:t>2.2. Наличие производственного помещения (значимость 50)</w:t>
      </w:r>
    </w:p>
    <w:p>
      <w:r>
        <w:t>Оценка заявок осуществляется по следующему показателю:</w:t>
      </w:r>
    </w:p>
    <w:p>
      <w:r>
        <w:t>- наличие или отсутствие производственного помещения площадью не менее 5000 кв.м.</w:t>
      </w:r>
    </w:p>
    <w:p>
      <w:r>
        <w:t>Оценка заявок осуществляется в соответствии с пунктом 23 Положения:</w:t>
      </w:r>
    </w:p>
    <w:p>
      <w:r>
        <w:t>Наличие производственного помещения площадью не менее 5000 кв. м. – 100 баллов.</w:t>
      </w:r>
    </w:p>
    <w:p>
      <w:r>
        <w:t>Отсутствие производственного помещения, наличие производственного помещения площадью, менее установленной заказчиком или непредставление документов, подтверждающих наличие производственного помещения – 0 баллов.</w:t>
      </w:r>
    </w:p>
    <w:p>
      <w:r>
        <w:t>По детализирующему показателю «Наличие производственного помещения» оценивается наличие или отсутствие производственного помещения.</w:t>
      </w:r>
    </w:p>
    <w:p>
      <w:r>
        <w:t>Значение количества баллов по детализирующему показателю, присваиваемых заявке, подлежащей в соответствии с Федеральным законом от 05.04.2013 № 44-ФЗ оценке, присваивается в соответствии со шкалой оценки, указанной в п.2 раздела II настоящего порядка рассмотрения и оценки заявок на участие в конкурсе.</w:t>
      </w:r>
    </w:p>
    <w:p>
      <w:r>
        <w:t>К оценке принимаются следующие документы:</w:t>
      </w:r>
    </w:p>
    <w:p>
      <w:r>
        <w:t>1) в случае если материально-технические ресурсы у участника закупки в собственности:</w:t>
      </w:r>
    </w:p>
    <w:p>
      <w:r>
        <w:t>- выписка из Единого государственного реестра недвижимости, подтверждающая право собственности участника на объект недвижимого имущества, выданная не ранее чем за 90 дней до дня окончания срока подачи заявок.</w:t>
      </w:r>
    </w:p>
    <w:p>
      <w:r>
        <w:t>2) в случае если материально-технические ресурсы у участника закупки в наличии на ином законном основании:</w:t>
      </w:r>
    </w:p>
    <w:p>
      <w:r>
        <w:t>- договор аренды объекта недвижимого имущества на срок исполнения контракта, зарегистрированного в установленном порядке (если предусмотрено законодательством), с приложением акта передачи арендованного объекта недвижимого имущества от арендодателя участнику закупки (арендатору);</w:t>
      </w:r>
    </w:p>
    <w:p>
      <w:r>
        <w:t>или</w:t>
      </w:r>
    </w:p>
    <w:p>
      <w:r>
        <w:t>- выписка из Единого государственного реестра недвижимости, подтверждающая право аренды на объект недвижимого имущества и выданная не ранее чем за 90 дней до дня окончания срока подачи заявок;</w:t>
      </w:r>
    </w:p>
    <w:p>
      <w:r>
        <w:t>или</w:t>
      </w:r>
    </w:p>
    <w:p>
      <w:r>
        <w:t>- иные документы, подтверждающие нахождение у участника закупки в течение срока исполнения контракта объекта недвижимого имущества на ином законном основании.</w:t>
      </w:r>
    </w:p>
    <w:p>
      <w:r>
        <w:t>Непредоставление указанных документов не является основанием для отказа в допуске к участию в конкурсе.</w:t>
      </w:r>
    </w:p>
    <w:p>
      <w:r>
        <w:t>В случае отсутствия в составе заявки участника документов, подтверждающих наличие материально-технических ресурсов, оценивается в 0 баллов.</w:t>
      </w:r>
    </w:p>
    <w:p>
      <w:r>
        <w:t>В письменных дополнениях к жалобе, а также устно при рассмотрении жалобы представителями заявителя в отношении детализирующего показателя «наличие у участников закупки финансовых ресурсов - чистая прибыль за отчетный год, предшествующий дате подачи заявки на конкурс в размере не менее 100 млн. рублей» указано, что чистая прибыль в размере 100 млн руб. не тождественна наличию финансовых ресурсов. Порядок оценки связывает наличие финансовых ресурсов исключительно с чистой прибылью за один предшествующий отчетный год в размере не менее 100 млн руб. Прибыль является итоговым бухгалтерским результатом за период, сама по себе не отражает объем денежных средств, кредитных линий, собственного капитала, ликвидных активов или иных источников, доступных для финансирования инвестиционной программы на дату исполнения контракта. Порог численно совпадает с минимальным объемом встречных инвестиций - 100 млн руб., однако в материалах закупки отсутствует финансово-экономическое обоснование того, почему способность вложить указанную сумму в течение шести месяцев подтверждается только чистой прибылью в том же размере за один прошлый год. Не учтены реинвестирование прибыли, амортизация, заемное финансирование и иные законные источники средств. При этом прибыль ниже порогового значения в любом размере дает те же 0 баллов, что и полное непредставление отчетности.</w:t>
      </w:r>
    </w:p>
    <w:p>
      <w:r>
        <w:t>Исходя из пояснений заказчика чистая прибыль является одним из показателей размера финансовых ресурсов юридических лиц. Этот показатель отражается в отчете о финансовых результатах по строке 2400 «Чистая прибыль (убыток)» в соответствии с подпунктом 7 пункта 27 раздела III Приказа Минфина России от 04.10.2023 № 157н «Об утверждении Федерального стандарта бухгалтерского учета ФСБУ 4/2023 «Бухгалтерская (финансовая) отчетность». В пункте 83 Положения по ведению бухгалтерского учёта и бухгалтерской отчётности в Российской Федерации, утвержденного приказом Минфина России от 29.07.1998 № 34н указано, что чистая прибыль (или нераспределённая прибыль отчётного периода) - это конечный финансовый результат, выявленный за отчётный период, за минусом причитающихся к уплате за счёт прибыли налогов и иных обязательных платежей, установленных законодательством РФ.</w:t>
      </w:r>
    </w:p>
    <w:p>
      <w:r>
        <w:t>Как полагает заказчик исходя из положений статей 50, 298, 1048 ГК РФ чистая прибыль - единственный источник инвестиций, находящийся в полном распоряжении предприятия без необходимости получения согласия внешних лиц (кредиторов, акционеров, государственных органов). Учитывая, что рассматриваемая закупка предполагает необходимость вложения поставщиком 100 млн. руб. в создание, модернизацию и освоение производства продуктов питания на территории Пензенской области, а также необходимость освоения этих денежных средств в срок не более 6 месяцев с даты заключения контракта, то есть в краткосрочном периоде. Как полагает заказчик основная задача данного показателя это снижение рисков заказчиков медицинских организаций, поскольку заказчикам важно понимать, есть ли у участника реальные, устойчивые финансовые ресурсы для реализации инвестиционного проекта и выполнения встречных инвестиционных обязательств в течение максимального срока не более 6 месяцев с даты заключения контракта, установленного п. 3.3 распоряжения Правительства Пензенской области от 13.08.2026 № 528-рП. По мнению заказчика, данный показатель служит своеобразной оценкой устойчивости бизнеса. Наличие чистой прибыли в объеме, сопоставимом с объемом инвестиций, показывает, что участник не будет испытывать острой нехватки средств в ходе реализации проекта в течение ограниченного срока для выполнения встречных инвестиционных обязательств.</w:t>
      </w:r>
    </w:p>
    <w:p>
      <w:r>
        <w:t>Комиссия Управления исходя из пояснений сторон, материалов по жалобе, соглашается с позицией заказчика, учитывая, что исходя из условий проекта контракта, основанных на распоряжении Правительства Пензенской области от 13.08.2026 № 528-рП «О проведении совместного электронного конкурса на заключение контрактов на поставку продуктов питания (молока и молочной продукции) для нужд учреждений здравоохранения Пензенской области, предусматривающих встречные инвестиционные обязательства поставщика по созданию, модернизации, освоению их производства на территории Пензенской области» встречными инвестиционными обязательствами является обязанность создать, модернизировать, освоить производство товара на территории Пензенской области в сумме не менее 100 млн.руб. в максимальный срок не более 6 месяцев с даты заключения контракта. Заказчиком устанавливается показатель «чистая прибыль за отчетный год, предшествующий дате подачи заявки на участие в конкурсе, в размере не менее 100 млн. рублей», тем самым заказчик полагает, что участник имеющий чистую прибыль не менее 100 млн.руб. может подтвердить фактическую готовность обеспечить инвестиционную составляющую контрактов.</w:t>
      </w:r>
    </w:p>
    <w:p>
      <w:r>
        <w:t>При этом упоминание при рассмотрении жалобы заявителем возможности получения кредитных средств для такого инвестирования носит предположительный характер.</w:t>
      </w:r>
    </w:p>
    <w:p>
      <w:r>
        <w:t>Комиссия отмечает, что с точки зрения относимости рассматриваемый показатель соотносится с условиями закупки – не превышает объема инвестиций (100 млн. руб.) и предполагает период предшествующий закупке год (не более 6 месяцев реализации).</w:t>
      </w:r>
    </w:p>
    <w:p>
      <w:r>
        <w:t>Заявителем в дополнении к жалобе указано, что прибыль ниже порогового значения в любом размере дает те же 0 баллов, что и полное непредставление отчетности.</w:t>
      </w:r>
    </w:p>
    <w:p>
      <w:r>
        <w:t>Вместе с тем Комиссия отмечает, что в случае, если заказчиком не была бы использована в Порядке шкала оценки по рассматриваемому показателю, а применялись бы формулы оценки:</w:t>
      </w:r>
    </w:p>
    <w:p>
      <w:r>
        <w:t>в случае, если лучшим является наибольшее значение характеристики объекта закупки (т.е. без установления предельного минимального значения 100 млн.руб.)</w:t>
      </w:r>
    </w:p>
    <w:p>
      <w:r>
        <w:t>или в случае, если лучшим является наибольшее значение характеристики объекта закупки и установлено предельное минимальное значение () характеристики объекта закупки (например, предельное минимальное значение 100 млн.руб.)</w:t>
      </w:r>
    </w:p>
    <w:p>
      <w:r>
        <w:t>Исходя из результатов оценки заявок (о чем упоминает податель жалобы при обосновании своей позиции) по рассматриваемой закупке, количества участников (2) и содержания заявок участников, при представлении участниками значений 26 895,00 тыс.руб. и 315 714,00 тыс.руб. соответственно, даже в случае расчета по формулам результат оценки заявителя по рассматриваемому критерию не изменился бы.</w:t>
      </w:r>
    </w:p>
    <w:p>
      <w:r>
        <w:t>В письменных дополнениях к жалобе в отношении детализирующего показателя наличие автотранспортных средств, предназначенных для перевозки пищевых продуктов указано, указано, что проекты контрактов предусматривают поставку партиями по еженедельному графику заказчика и по заявкам, при этом не раскрыто, почему для поставок двум заказчикам необходимы именно 10 транспортных средств.</w:t>
      </w:r>
    </w:p>
    <w:p>
      <w:r>
        <w:t>Как пояснила представитель заказчика по детализирующему показателю «Наличие автотранспортных средств, предназначенных для перевозки пищевых продуктов» показателя оценки действительно установлено предельное минимальное значение - 10 автотранспортных средств. Значение 10 транспортных средств включает в себя не только количество транспортных средств, обеспечивающих поставку готовой продукции в медицинские организации при исполнении контракта, но и количество транспортных средств, необходимых для доставки молочного сырья на место производства. В описании объекта закупки указан достаточно большой номенклатурный перечень товаров, а именно 11 позиций, при этом разные категории товаров требуют соблюдения разных температурных режимов при транспортировке до заказчика. Также для обеспечения бесперебойности поставок необходимы резервные транспортные средства для доставки сырья и готовой продукции на случай неисправности транспортного средства или иных непредвиденных обстоятельств. По мнению заказчика, у потенциального поставщика должен быть необходимый потенциал в части наличия материальных ресурсов для выполнения долгосрочного обязательства, а именно 10 лет, поскольку наличие достаточного парка машин позволяет оперативно реагировать на заявки заказчиков, соблюдать логистические цепочки и не допускать простоев производства из-за нехватки транспорта. Таким образом, заказчик исходил из необходимости наличия в целях доставки готовой продукции 2 автотранспортных средства для различных условий транспортировки, а также 1 резервного автотранспортного средства на каждое учреждение, а также для доставки сырья 4 автотранспортных средств, включая 1 резервное.</w:t>
      </w:r>
    </w:p>
    <w:p>
      <w:r>
        <w:t>При этом представитель заказчика указала, что у заявителя согласно предоставленной в заявке выписке из Единого государственного реестра налогоплательщиков имеется 16 грузовых автотранспортных средств (без учета легковых автомобилей, транспортных средств МАЗ, КАМАЗ и ВАЗ), то есть у заявителя фактически имеется достаточно большой парк транспортных средств, необходимых для осуществления деятельности по производству молока и молочной продукции, однако данный документ не был учтен комиссией при оценке заявок, т.к. согласно Положению и Порядку оценки в качестве документов, подтверждающих наличие оборудования и других материальных ресурсов, учитываются инвентарные карточки учета объектов основных средств унифицированной формы ОС-6. Членами комиссии по закупкам при анализе заявки учтены 7 автотранспортных средств.</w:t>
      </w:r>
    </w:p>
    <w:p>
      <w:r>
        <w:t>Исходя из материалов жалобы Комиссия Управления приходит к выводу, что установленный показатель оценки не противоречит положениям Закона о контрактной системе или Положения, дополнительно отмечая, что представители заявителя в меньшей степени отстаивали данный довод, поскольку согласились с реальной возможностью представления необходимых для учета документов в большом количестве при надлежащей степени осмотрительности в подготовке заявки.</w:t>
      </w:r>
    </w:p>
    <w:p>
      <w:r>
        <w:t>В письменных дополнениях к жалобе, а также в самой жалобе заявителем в отношении детализирующего показателя наличие производственного помещения площадью не менее 5000 кв.м. указано, что описание объекта закупки и проекты контрактов устанавливают требования к ассортименту, качеству, безопасности и срокам поставки молочной продукции, однако не содержат производственного расчета, связывающего требуемый объем выпуска с площадью 5000 кв.м. Более того, пункт 2.3 проектов контрактов относит к инвестиционным обязательствам поставку, монтаж, пусконаладку и валидацию оборудования, валидацию производства и испытания стабильности работы оборудования. Средства, направленные на приобретение объектов капитального строительства и (или) земельных участков либо прав на них из учитываемых инвестиций исключены. Тем самым спорный порог площади не объясняется структурой встречных инвестиций. Договоры, представленные в составе заявки заявителем подтверждают использование обществом производственного здания площадью 1818,3 кв.м. и цеха фасовки площадью 246 кв.м., при этом податель жалобы производит необходимый перечень продукции надлежащего качества на такой площади.</w:t>
      </w:r>
    </w:p>
    <w:p>
      <w:r>
        <w:t>Представители заказчика пояснили, что в качестве одного из уточняющих показателей установлен показатель «наличие производственного помещения площадью не менее 5000 кв. м». Данный показатель установлен на основе анализа технологической цепочки производства 11 наименований молочной продукции, перечень которых утвержден распоряжением Правительства Пензенской области от 13.08.2026 № 528-рП.</w:t>
      </w:r>
    </w:p>
    <w:p>
      <w:r>
        <w:t>Так, для выпуска указанного перечня продукции необходима организация полного цикла молочного производства, включающего следующие технологические этапы:</w:t>
      </w:r>
    </w:p>
    <w:p>
      <w:r>
        <w:t>Приемка и входной контроль молока-сырья.</w:t>
      </w:r>
    </w:p>
    <w:p>
      <w:r>
        <w:t>Хранение сырья (емкости для молока-сырья с охлаждением).</w:t>
      </w:r>
    </w:p>
    <w:p>
      <w:r>
        <w:t>Первичная обработка (сепарирование, нормализация, гомогенизация).</w:t>
      </w:r>
    </w:p>
    <w:p>
      <w:r>
        <w:t>Термическая обработка (пастеризация, стерилизация).</w:t>
      </w:r>
    </w:p>
    <w:p>
      <w:r>
        <w:t>Созревание и сквашивание (для кисломолочных продуктов).</w:t>
      </w:r>
    </w:p>
    <w:p>
      <w:r>
        <w:t>Производство масла (сбивание, фасовка).</w:t>
      </w:r>
    </w:p>
    <w:p>
      <w:r>
        <w:t>Фасовка и розлив готовой продукции.</w:t>
      </w:r>
    </w:p>
    <w:p>
      <w:r>
        <w:t>Холодильное хранение готовой продукции.</w:t>
      </w:r>
    </w:p>
    <w:p>
      <w:r>
        <w:t>Экспедиция и отгрузка.</w:t>
      </w:r>
    </w:p>
    <w:p>
      <w:r>
        <w:t>При этом нормы размещения и нормы рабочей площади оборудования и трубопроводов при технологическом проектировании предприятий молочной промышленности отражены в ВНТП 645/1618-92. Нормы технологического проектирования предприятий молочной промышленности (утв. письмом Минсельхоза России от 07.04.1992 № ДН-60).</w:t>
      </w:r>
    </w:p>
    <w:p>
      <w:r>
        <w:t>В свою очередь выпуск широкого ассортимента молочной продукции (11 наименований) требует организации независимых технологических линий для различных групп продуктов:</w:t>
      </w:r>
    </w:p>
    <w:p>
      <w:r>
        <w:t>Линии пастеризации молока - отдельные линии для объемов 1 л и 0,5 л Линии кисломолочных продуктов - кефир, ряженка, йогуртные напитки Линии творога - прессование и ультрафильтрация (2 разные технологии) Линии сметаны - отдельная линия розлива Линии сливочного масла - маслоизготовитель и фасовка</w:t>
      </w:r>
    </w:p>
    <w:p>
      <w:r>
        <w:t>При этом для каждой линии требуется собственный участок в производственном цехе, подводящие коммуникации (пар, вода, электричество, холод), зона обслуживания и доступа для ремонта, соблюдение санитарных разрывов между оборудованием.</w:t>
      </w:r>
    </w:p>
    <w:p>
      <w:r>
        <w:t>По мнению заказчика, сокращение площади менее 5000 кв.м. приведет к нарушению технологических регламентов, невозможности обеспечить требуемый запас сырья и готовой продукции, нарушению санитарных норм и требований ТР ТС 021/2011 «Технический регламент Таможенного союза. О безопасности пищевой продукции», снижению производительности и надежности производства, невозможности безопасной эксплуатации оборудования.</w:t>
      </w:r>
    </w:p>
    <w:p>
      <w:r>
        <w:t>Также заказчиком в дополнение к ранее направленным возражениям направлен примерный расчет-подтверждение по установленному детализирующему показателю:</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w:t>
            </w:r>
          </w:p>
        </w:tc>
        <w:tc>
          <w:tcPr>
            <w:tcW w:type="dxa" w:w="1234"/>
          </w:tcPr>
          <w:p>
            <w:r>
              <w:t>Зона</w:t>
            </w:r>
          </w:p>
        </w:tc>
        <w:tc>
          <w:tcPr>
            <w:tcW w:type="dxa" w:w="1234"/>
          </w:tcPr>
          <w:p>
            <w:r>
              <w:t>Наименование оборудования</w:t>
            </w:r>
          </w:p>
        </w:tc>
        <w:tc>
          <w:tcPr>
            <w:tcW w:type="dxa" w:w="1234"/>
          </w:tcPr>
          <w:p>
            <w:r>
              <w:t>Кол-во</w:t>
            </w:r>
          </w:p>
        </w:tc>
        <w:tc>
          <w:tcPr>
            <w:tcW w:type="dxa" w:w="1234"/>
          </w:tcPr>
          <w:p>
            <w:r>
              <w:t>Площадь на ед.,</w:t>
            </w:r>
          </w:p>
        </w:tc>
        <w:tc>
          <w:tcPr>
            <w:tcW w:type="dxa" w:w="1234"/>
          </w:tcPr>
          <w:p>
            <w:r>
              <w:t>Итого,</w:t>
            </w:r>
          </w:p>
        </w:tc>
        <w:tc>
          <w:tcPr>
            <w:tcW w:type="dxa" w:w="1234"/>
          </w:tcPr>
          <w:p>
            <w:r>
              <w:t>Источник</w:t>
            </w:r>
          </w:p>
        </w:tc>
      </w:tr>
      <w:tr>
        <w:tc>
          <w:tcPr>
            <w:tcW w:type="dxa" w:w="1234"/>
          </w:tcPr>
          <w:p>
            <w:r>
              <w:t>1</w:t>
            </w:r>
          </w:p>
        </w:tc>
        <w:tc>
          <w:tcPr>
            <w:tcW w:type="dxa" w:w="1234"/>
          </w:tcPr>
          <w:p>
            <w:r>
              <w:t>Приемка и хранение сырья</w:t>
            </w:r>
          </w:p>
        </w:tc>
        <w:tc>
          <w:tcPr>
            <w:tcW w:type="dxa" w:w="1234"/>
          </w:tcPr>
          <w:p>
            <w:r>
              <w:t>Резервуар для хранения молока В2-ОХР-100</w:t>
            </w:r>
          </w:p>
        </w:tc>
        <w:tc>
          <w:tcPr>
            <w:tcW w:type="dxa" w:w="1234"/>
          </w:tcPr>
          <w:p>
            <w:r>
              <w:t>4</w:t>
            </w:r>
          </w:p>
        </w:tc>
        <w:tc>
          <w:tcPr>
            <w:tcW w:type="dxa" w:w="1234"/>
          </w:tcPr>
          <w:p>
            <w:r>
              <w:t>43,0</w:t>
            </w:r>
          </w:p>
        </w:tc>
        <w:tc>
          <w:tcPr>
            <w:tcW w:type="dxa" w:w="1234"/>
          </w:tcPr>
          <w:p>
            <w:r>
              <w:t>172,0</w:t>
            </w:r>
          </w:p>
        </w:tc>
        <w:tc>
          <w:tcPr>
            <w:tcW w:type="dxa" w:w="1234"/>
          </w:tcPr>
          <w:p>
            <w:r>
              <w:t>ВНТП 645/1618-92, табл. 2</w:t>
            </w:r>
          </w:p>
        </w:tc>
      </w:tr>
      <w:tr>
        <w:tc>
          <w:tcPr>
            <w:tcW w:type="dxa" w:w="1234"/>
          </w:tcPr>
          <w:p>
            <w:r>
              <w:t>2</w:t>
            </w:r>
          </w:p>
        </w:tc>
        <w:tc>
          <w:tcPr>
            <w:tcW w:type="dxa" w:w="1234"/>
          </w:tcPr>
          <w:p>
            <w:r/>
          </w:p>
        </w:tc>
        <w:tc>
          <w:tcPr>
            <w:tcW w:type="dxa" w:w="1234"/>
          </w:tcPr>
          <w:p>
            <w:r>
              <w:t>Сепаратор-молокоочиститель Ж5-ОМ2Е-С (30000 л/ч)</w:t>
            </w:r>
          </w:p>
        </w:tc>
        <w:tc>
          <w:tcPr>
            <w:tcW w:type="dxa" w:w="1234"/>
          </w:tcPr>
          <w:p>
            <w:r>
              <w:t>2</w:t>
            </w:r>
          </w:p>
        </w:tc>
        <w:tc>
          <w:tcPr>
            <w:tcW w:type="dxa" w:w="1234"/>
          </w:tcPr>
          <w:p>
            <w:r>
              <w:t>3,1</w:t>
            </w:r>
          </w:p>
        </w:tc>
        <w:tc>
          <w:tcPr>
            <w:tcW w:type="dxa" w:w="1234"/>
          </w:tcPr>
          <w:p>
            <w:r>
              <w:t>6,2</w:t>
            </w:r>
          </w:p>
        </w:tc>
        <w:tc>
          <w:tcPr>
            <w:tcW w:type="dxa" w:w="1234"/>
          </w:tcPr>
          <w:p>
            <w:r>
              <w:t>ВНТП 645/1618-92, табл. 2</w:t>
            </w:r>
          </w:p>
        </w:tc>
      </w:tr>
      <w:tr>
        <w:tc>
          <w:tcPr>
            <w:tcW w:type="dxa" w:w="1234"/>
          </w:tcPr>
          <w:p>
            <w:r>
              <w:t>3</w:t>
            </w:r>
          </w:p>
        </w:tc>
        <w:tc>
          <w:tcPr>
            <w:tcW w:type="dxa" w:w="1234"/>
          </w:tcPr>
          <w:p>
            <w:r>
              <w:t>Термическая обработка</w:t>
            </w:r>
          </w:p>
        </w:tc>
        <w:tc>
          <w:tcPr>
            <w:tcW w:type="dxa" w:w="1234"/>
          </w:tcPr>
          <w:p>
            <w:r>
              <w:t>Пастеризационно-охладительная установка А1-ОКЛ-25 (25000 л/ч)</w:t>
            </w:r>
          </w:p>
        </w:tc>
        <w:tc>
          <w:tcPr>
            <w:tcW w:type="dxa" w:w="1234"/>
          </w:tcPr>
          <w:p>
            <w:r>
              <w:t>2</w:t>
            </w:r>
          </w:p>
        </w:tc>
        <w:tc>
          <w:tcPr>
            <w:tcW w:type="dxa" w:w="1234"/>
          </w:tcPr>
          <w:p>
            <w:r>
              <w:t>75,0</w:t>
            </w:r>
          </w:p>
        </w:tc>
        <w:tc>
          <w:tcPr>
            <w:tcW w:type="dxa" w:w="1234"/>
          </w:tcPr>
          <w:p>
            <w:r>
              <w:t>150,0</w:t>
            </w:r>
          </w:p>
        </w:tc>
        <w:tc>
          <w:tcPr>
            <w:tcW w:type="dxa" w:w="1234"/>
          </w:tcPr>
          <w:p>
            <w:r>
              <w:t>ВНТП 645/1618-92, табл. 2</w:t>
            </w:r>
          </w:p>
        </w:tc>
      </w:tr>
      <w:tr>
        <w:tc>
          <w:tcPr>
            <w:tcW w:type="dxa" w:w="1234"/>
          </w:tcPr>
          <w:p>
            <w:r>
              <w:t>4</w:t>
            </w:r>
          </w:p>
        </w:tc>
        <w:tc>
          <w:tcPr>
            <w:tcW w:type="dxa" w:w="1234"/>
          </w:tcPr>
          <w:p>
            <w:r/>
          </w:p>
        </w:tc>
        <w:tc>
          <w:tcPr>
            <w:tcW w:type="dxa" w:w="1234"/>
          </w:tcPr>
          <w:p>
            <w:r>
              <w:t>Гомогенизатор РЗ-ОГМ-25 (25000 л/ч)</w:t>
            </w:r>
          </w:p>
        </w:tc>
        <w:tc>
          <w:tcPr>
            <w:tcW w:type="dxa" w:w="1234"/>
          </w:tcPr>
          <w:p>
            <w:r>
              <w:t>2</w:t>
            </w:r>
          </w:p>
        </w:tc>
        <w:tc>
          <w:tcPr>
            <w:tcW w:type="dxa" w:w="1234"/>
          </w:tcPr>
          <w:p>
            <w:r>
              <w:t>13,5</w:t>
            </w:r>
          </w:p>
        </w:tc>
        <w:tc>
          <w:tcPr>
            <w:tcW w:type="dxa" w:w="1234"/>
          </w:tcPr>
          <w:p>
            <w:r>
              <w:t>27,0</w:t>
            </w:r>
          </w:p>
        </w:tc>
        <w:tc>
          <w:tcPr>
            <w:tcW w:type="dxa" w:w="1234"/>
          </w:tcPr>
          <w:p>
            <w:r>
              <w:t>ВНТП 645/1618-92, табл. 2</w:t>
            </w:r>
          </w:p>
        </w:tc>
      </w:tr>
      <w:tr>
        <w:tc>
          <w:tcPr>
            <w:tcW w:type="dxa" w:w="1234"/>
          </w:tcPr>
          <w:p>
            <w:r>
              <w:t>5</w:t>
            </w:r>
          </w:p>
        </w:tc>
        <w:tc>
          <w:tcPr>
            <w:tcW w:type="dxa" w:w="1234"/>
          </w:tcPr>
          <w:p>
            <w:r>
              <w:t>Розлив молока</w:t>
            </w:r>
          </w:p>
        </w:tc>
        <w:tc>
          <w:tcPr>
            <w:tcW w:type="dxa" w:w="1234"/>
          </w:tcPr>
          <w:p>
            <w:r>
              <w:t>Линия розлива Б2-ОРЛ (12000 бут/ч)</w:t>
            </w:r>
          </w:p>
        </w:tc>
        <w:tc>
          <w:tcPr>
            <w:tcW w:type="dxa" w:w="1234"/>
          </w:tcPr>
          <w:p>
            <w:r>
              <w:t>1</w:t>
            </w:r>
          </w:p>
        </w:tc>
        <w:tc>
          <w:tcPr>
            <w:tcW w:type="dxa" w:w="1234"/>
          </w:tcPr>
          <w:p>
            <w:r>
              <w:t>320,0</w:t>
            </w:r>
          </w:p>
        </w:tc>
        <w:tc>
          <w:tcPr>
            <w:tcW w:type="dxa" w:w="1234"/>
          </w:tcPr>
          <w:p>
            <w:r>
              <w:t>320,0</w:t>
            </w:r>
          </w:p>
        </w:tc>
        <w:tc>
          <w:tcPr>
            <w:tcW w:type="dxa" w:w="1234"/>
          </w:tcPr>
          <w:p>
            <w:r>
              <w:t>ВНТП 645/1618-92, табл. 2</w:t>
            </w:r>
          </w:p>
        </w:tc>
      </w:tr>
      <w:tr>
        <w:tc>
          <w:tcPr>
            <w:tcW w:type="dxa" w:w="1234"/>
          </w:tcPr>
          <w:p>
            <w:r>
              <w:t>6</w:t>
            </w:r>
          </w:p>
        </w:tc>
        <w:tc>
          <w:tcPr>
            <w:tcW w:type="dxa" w:w="1234"/>
          </w:tcPr>
          <w:p>
            <w:r/>
          </w:p>
        </w:tc>
        <w:tc>
          <w:tcPr>
            <w:tcW w:type="dxa" w:w="1234"/>
          </w:tcPr>
          <w:p>
            <w:r>
              <w:t>Автомат розлива в пакеты М6-ОРЗЕ (25 пак/мин)</w:t>
            </w:r>
          </w:p>
        </w:tc>
        <w:tc>
          <w:tcPr>
            <w:tcW w:type="dxa" w:w="1234"/>
          </w:tcPr>
          <w:p>
            <w:r>
              <w:t>2</w:t>
            </w:r>
          </w:p>
        </w:tc>
        <w:tc>
          <w:tcPr>
            <w:tcW w:type="dxa" w:w="1234"/>
          </w:tcPr>
          <w:p>
            <w:r>
              <w:t>18,0</w:t>
            </w:r>
          </w:p>
        </w:tc>
        <w:tc>
          <w:tcPr>
            <w:tcW w:type="dxa" w:w="1234"/>
          </w:tcPr>
          <w:p>
            <w:r>
              <w:t>36,0</w:t>
            </w:r>
          </w:p>
        </w:tc>
        <w:tc>
          <w:tcPr>
            <w:tcW w:type="dxa" w:w="1234"/>
          </w:tcPr>
          <w:p>
            <w:r>
              <w:t>ВНТП 645/1618-92, табл. 2</w:t>
            </w:r>
          </w:p>
        </w:tc>
      </w:tr>
      <w:tr>
        <w:tc>
          <w:tcPr>
            <w:tcW w:type="dxa" w:w="1234"/>
          </w:tcPr>
          <w:p>
            <w:r>
              <w:t>7</w:t>
            </w:r>
          </w:p>
        </w:tc>
        <w:tc>
          <w:tcPr>
            <w:tcW w:type="dxa" w:w="1234"/>
          </w:tcPr>
          <w:p>
            <w:r>
              <w:t>Созревание и сквашивание</w:t>
            </w:r>
          </w:p>
        </w:tc>
        <w:tc>
          <w:tcPr>
            <w:tcW w:type="dxa" w:w="1234"/>
          </w:tcPr>
          <w:p>
            <w:r>
              <w:t>Резервуар для созревания Я1-ОСВ-10 (10000 л)</w:t>
            </w:r>
          </w:p>
        </w:tc>
        <w:tc>
          <w:tcPr>
            <w:tcW w:type="dxa" w:w="1234"/>
          </w:tcPr>
          <w:p>
            <w:r>
              <w:t>5</w:t>
            </w:r>
          </w:p>
        </w:tc>
        <w:tc>
          <w:tcPr>
            <w:tcW w:type="dxa" w:w="1234"/>
          </w:tcPr>
          <w:p>
            <w:r>
              <w:t>15,0</w:t>
            </w:r>
          </w:p>
        </w:tc>
        <w:tc>
          <w:tcPr>
            <w:tcW w:type="dxa" w:w="1234"/>
          </w:tcPr>
          <w:p>
            <w:r>
              <w:t>75,0</w:t>
            </w:r>
          </w:p>
        </w:tc>
        <w:tc>
          <w:tcPr>
            <w:tcW w:type="dxa" w:w="1234"/>
          </w:tcPr>
          <w:p>
            <w:r>
              <w:t>ВНТП 645/1618-92, табл. 2</w:t>
            </w:r>
          </w:p>
        </w:tc>
      </w:tr>
      <w:tr>
        <w:tc>
          <w:tcPr>
            <w:tcW w:type="dxa" w:w="1234"/>
          </w:tcPr>
          <w:p>
            <w:r>
              <w:t>8</w:t>
            </w:r>
          </w:p>
        </w:tc>
        <w:tc>
          <w:tcPr>
            <w:tcW w:type="dxa" w:w="1234"/>
          </w:tcPr>
          <w:p>
            <w:r/>
          </w:p>
        </w:tc>
        <w:tc>
          <w:tcPr>
            <w:tcW w:type="dxa" w:w="1234"/>
          </w:tcPr>
          <w:p>
            <w:r>
              <w:t>Резервуар для созревания Я1-ОСВ-6.3 (6300 л)</w:t>
            </w:r>
          </w:p>
        </w:tc>
        <w:tc>
          <w:tcPr>
            <w:tcW w:type="dxa" w:w="1234"/>
          </w:tcPr>
          <w:p>
            <w:r>
              <w:t>4</w:t>
            </w:r>
          </w:p>
        </w:tc>
        <w:tc>
          <w:tcPr>
            <w:tcW w:type="dxa" w:w="1234"/>
          </w:tcPr>
          <w:p>
            <w:r>
              <w:t>10,6</w:t>
            </w:r>
          </w:p>
        </w:tc>
        <w:tc>
          <w:tcPr>
            <w:tcW w:type="dxa" w:w="1234"/>
          </w:tcPr>
          <w:p>
            <w:r>
              <w:t>42,4</w:t>
            </w:r>
          </w:p>
        </w:tc>
        <w:tc>
          <w:tcPr>
            <w:tcW w:type="dxa" w:w="1234"/>
          </w:tcPr>
          <w:p>
            <w:r>
              <w:t>ВНТП 645/1618-92, табл. 2</w:t>
            </w:r>
          </w:p>
        </w:tc>
      </w:tr>
    </w:tbl>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9</w:t>
            </w:r>
          </w:p>
        </w:tc>
        <w:tc>
          <w:tcPr>
            <w:tcW w:type="dxa" w:w="1234"/>
          </w:tcPr>
          <w:p>
            <w:r>
              <w:t>Розлив кисломолочных</w:t>
            </w:r>
          </w:p>
        </w:tc>
        <w:tc>
          <w:tcPr>
            <w:tcW w:type="dxa" w:w="1234"/>
          </w:tcPr>
          <w:p>
            <w:r>
              <w:t>Линия розлива И2-ОЛ4-6 (6000 бут/ч)</w:t>
            </w:r>
          </w:p>
        </w:tc>
        <w:tc>
          <w:tcPr>
            <w:tcW w:type="dxa" w:w="1234"/>
          </w:tcPr>
          <w:p>
            <w:r>
              <w:t>2</w:t>
            </w:r>
          </w:p>
        </w:tc>
        <w:tc>
          <w:tcPr>
            <w:tcW w:type="dxa" w:w="1234"/>
          </w:tcPr>
          <w:p>
            <w:r>
              <w:t>186,0</w:t>
            </w:r>
          </w:p>
        </w:tc>
        <w:tc>
          <w:tcPr>
            <w:tcW w:type="dxa" w:w="1234"/>
          </w:tcPr>
          <w:p>
            <w:r>
              <w:t>372,0</w:t>
            </w:r>
          </w:p>
        </w:tc>
        <w:tc>
          <w:tcPr>
            <w:tcW w:type="dxa" w:w="1234"/>
          </w:tcPr>
          <w:p>
            <w:r>
              <w:t>ВНТП 645/1618-92, табл. 2</w:t>
            </w:r>
          </w:p>
        </w:tc>
      </w:tr>
      <w:tr>
        <w:tc>
          <w:tcPr>
            <w:tcW w:type="dxa" w:w="1234"/>
          </w:tcPr>
          <w:p>
            <w:r>
              <w:t>10</w:t>
            </w:r>
          </w:p>
        </w:tc>
        <w:tc>
          <w:tcPr>
            <w:tcW w:type="dxa" w:w="1234"/>
          </w:tcPr>
          <w:p>
            <w:r>
              <w:t>Производство творога</w:t>
            </w:r>
          </w:p>
        </w:tc>
        <w:tc>
          <w:tcPr>
            <w:tcW w:type="dxa" w:w="1234"/>
          </w:tcPr>
          <w:p>
            <w:r>
              <w:t>Линия производства творога Я9-ОПТ-5.0 (5000 л/ч)</w:t>
            </w:r>
          </w:p>
        </w:tc>
        <w:tc>
          <w:tcPr>
            <w:tcW w:type="dxa" w:w="1234"/>
          </w:tcPr>
          <w:p>
            <w:r>
              <w:t>1</w:t>
            </w:r>
          </w:p>
        </w:tc>
        <w:tc>
          <w:tcPr>
            <w:tcW w:type="dxa" w:w="1234"/>
          </w:tcPr>
          <w:p>
            <w:r>
              <w:t>370,0</w:t>
            </w:r>
          </w:p>
        </w:tc>
        <w:tc>
          <w:tcPr>
            <w:tcW w:type="dxa" w:w="1234"/>
          </w:tcPr>
          <w:p>
            <w:r>
              <w:t>370,0</w:t>
            </w:r>
          </w:p>
        </w:tc>
        <w:tc>
          <w:tcPr>
            <w:tcW w:type="dxa" w:w="1234"/>
          </w:tcPr>
          <w:p>
            <w:r>
              <w:t>ВНТП 645/1618-92, табл. 2</w:t>
            </w:r>
          </w:p>
        </w:tc>
      </w:tr>
      <w:tr>
        <w:tc>
          <w:tcPr>
            <w:tcW w:type="dxa" w:w="1234"/>
          </w:tcPr>
          <w:p>
            <w:r>
              <w:t>11</w:t>
            </w:r>
          </w:p>
        </w:tc>
        <w:tc>
          <w:tcPr>
            <w:tcW w:type="dxa" w:w="1234"/>
          </w:tcPr>
          <w:p>
            <w:r/>
          </w:p>
        </w:tc>
        <w:tc>
          <w:tcPr>
            <w:tcW w:type="dxa" w:w="1234"/>
          </w:tcPr>
          <w:p>
            <w:r>
              <w:t>Автомат фасовки творога М6-ОРЗВ-2 (500 г)</w:t>
            </w:r>
          </w:p>
        </w:tc>
        <w:tc>
          <w:tcPr>
            <w:tcW w:type="dxa" w:w="1234"/>
          </w:tcPr>
          <w:p>
            <w:r>
              <w:t>3</w:t>
            </w:r>
          </w:p>
        </w:tc>
        <w:tc>
          <w:tcPr>
            <w:tcW w:type="dxa" w:w="1234"/>
          </w:tcPr>
          <w:p>
            <w:r>
              <w:t>30,0</w:t>
            </w:r>
          </w:p>
        </w:tc>
        <w:tc>
          <w:tcPr>
            <w:tcW w:type="dxa" w:w="1234"/>
          </w:tcPr>
          <w:p>
            <w:r>
              <w:t>90,0</w:t>
            </w:r>
          </w:p>
        </w:tc>
        <w:tc>
          <w:tcPr>
            <w:tcW w:type="dxa" w:w="1234"/>
          </w:tcPr>
          <w:p>
            <w:r>
              <w:t>ВНТП 645/1618-92, табл. 2</w:t>
            </w:r>
          </w:p>
        </w:tc>
      </w:tr>
      <w:tr>
        <w:tc>
          <w:tcPr>
            <w:tcW w:type="dxa" w:w="1234"/>
          </w:tcPr>
          <w:p>
            <w:r>
              <w:t>12</w:t>
            </w:r>
          </w:p>
        </w:tc>
        <w:tc>
          <w:tcPr>
            <w:tcW w:type="dxa" w:w="1234"/>
          </w:tcPr>
          <w:p>
            <w:r>
              <w:t>Производство сметаны</w:t>
            </w:r>
          </w:p>
        </w:tc>
        <w:tc>
          <w:tcPr>
            <w:tcW w:type="dxa" w:w="1234"/>
          </w:tcPr>
          <w:p>
            <w:r>
              <w:t>Ванна для созревания сливок ВСГМ-2000</w:t>
            </w:r>
          </w:p>
        </w:tc>
        <w:tc>
          <w:tcPr>
            <w:tcW w:type="dxa" w:w="1234"/>
          </w:tcPr>
          <w:p>
            <w:r>
              <w:t>2</w:t>
            </w:r>
          </w:p>
        </w:tc>
        <w:tc>
          <w:tcPr>
            <w:tcW w:type="dxa" w:w="1234"/>
          </w:tcPr>
          <w:p>
            <w:r>
              <w:t>13,5</w:t>
            </w:r>
          </w:p>
        </w:tc>
        <w:tc>
          <w:tcPr>
            <w:tcW w:type="dxa" w:w="1234"/>
          </w:tcPr>
          <w:p>
            <w:r>
              <w:t>27,0</w:t>
            </w:r>
          </w:p>
        </w:tc>
        <w:tc>
          <w:tcPr>
            <w:tcW w:type="dxa" w:w="1234"/>
          </w:tcPr>
          <w:p>
            <w:r>
              <w:t>ВНТП 645/1618-92, табл. 2</w:t>
            </w:r>
          </w:p>
        </w:tc>
      </w:tr>
      <w:tr>
        <w:tc>
          <w:tcPr>
            <w:tcW w:type="dxa" w:w="1234"/>
          </w:tcPr>
          <w:p>
            <w:r>
              <w:t>13</w:t>
            </w:r>
          </w:p>
        </w:tc>
        <w:tc>
          <w:tcPr>
            <w:tcW w:type="dxa" w:w="1234"/>
          </w:tcPr>
          <w:p>
            <w:r/>
          </w:p>
        </w:tc>
        <w:tc>
          <w:tcPr>
            <w:tcW w:type="dxa" w:w="1234"/>
          </w:tcPr>
          <w:p>
            <w:r>
              <w:t>Автомат фасовки сметаны М6-ОРП</w:t>
            </w:r>
          </w:p>
        </w:tc>
        <w:tc>
          <w:tcPr>
            <w:tcW w:type="dxa" w:w="1234"/>
          </w:tcPr>
          <w:p>
            <w:r>
              <w:t>2</w:t>
            </w:r>
          </w:p>
        </w:tc>
        <w:tc>
          <w:tcPr>
            <w:tcW w:type="dxa" w:w="1234"/>
          </w:tcPr>
          <w:p>
            <w:r>
              <w:t>19,6</w:t>
            </w:r>
          </w:p>
        </w:tc>
        <w:tc>
          <w:tcPr>
            <w:tcW w:type="dxa" w:w="1234"/>
          </w:tcPr>
          <w:p>
            <w:r>
              <w:t>39,2</w:t>
            </w:r>
          </w:p>
        </w:tc>
        <w:tc>
          <w:tcPr>
            <w:tcW w:type="dxa" w:w="1234"/>
          </w:tcPr>
          <w:p>
            <w:r>
              <w:t>ВНТП 645/1618-92, табл. 2</w:t>
            </w:r>
          </w:p>
        </w:tc>
      </w:tr>
      <w:tr>
        <w:tc>
          <w:tcPr>
            <w:tcW w:type="dxa" w:w="1234"/>
          </w:tcPr>
          <w:p>
            <w:r>
              <w:t>14</w:t>
            </w:r>
          </w:p>
        </w:tc>
        <w:tc>
          <w:tcPr>
            <w:tcW w:type="dxa" w:w="1234"/>
          </w:tcPr>
          <w:p>
            <w:r>
              <w:t>Производство масла</w:t>
            </w:r>
          </w:p>
        </w:tc>
        <w:tc>
          <w:tcPr>
            <w:tcW w:type="dxa" w:w="1234"/>
          </w:tcPr>
          <w:p>
            <w:r>
              <w:t>Линия производства масла П8-ОЛФ (1000 кг/ч)</w:t>
            </w:r>
          </w:p>
        </w:tc>
        <w:tc>
          <w:tcPr>
            <w:tcW w:type="dxa" w:w="1234"/>
          </w:tcPr>
          <w:p>
            <w:r>
              <w:t>1</w:t>
            </w:r>
          </w:p>
        </w:tc>
        <w:tc>
          <w:tcPr>
            <w:tcW w:type="dxa" w:w="1234"/>
          </w:tcPr>
          <w:p>
            <w:r>
              <w:t>97,0</w:t>
            </w:r>
          </w:p>
        </w:tc>
        <w:tc>
          <w:tcPr>
            <w:tcW w:type="dxa" w:w="1234"/>
          </w:tcPr>
          <w:p>
            <w:r>
              <w:t>97,0</w:t>
            </w:r>
          </w:p>
        </w:tc>
        <w:tc>
          <w:tcPr>
            <w:tcW w:type="dxa" w:w="1234"/>
          </w:tcPr>
          <w:p>
            <w:r>
              <w:t>ВНТП 645/1618-92, табл. 2</w:t>
            </w:r>
          </w:p>
        </w:tc>
      </w:tr>
      <w:tr>
        <w:tc>
          <w:tcPr>
            <w:tcW w:type="dxa" w:w="1234"/>
          </w:tcPr>
          <w:p>
            <w:r>
              <w:t>15</w:t>
            </w:r>
          </w:p>
        </w:tc>
        <w:tc>
          <w:tcPr>
            <w:tcW w:type="dxa" w:w="1234"/>
          </w:tcPr>
          <w:p>
            <w:r>
              <w:t>Вспомогательное оборудование</w:t>
            </w:r>
          </w:p>
        </w:tc>
        <w:tc>
          <w:tcPr>
            <w:tcW w:type="dxa" w:w="1234"/>
          </w:tcPr>
          <w:p>
            <w:r>
              <w:t>Ванна пастеризационная В1-ОП2А-01</w:t>
            </w:r>
          </w:p>
        </w:tc>
        <w:tc>
          <w:tcPr>
            <w:tcW w:type="dxa" w:w="1234"/>
          </w:tcPr>
          <w:p>
            <w:r>
              <w:t>4</w:t>
            </w:r>
          </w:p>
        </w:tc>
        <w:tc>
          <w:tcPr>
            <w:tcW w:type="dxa" w:w="1234"/>
          </w:tcPr>
          <w:p>
            <w:r>
              <w:t>5,7</w:t>
            </w:r>
          </w:p>
        </w:tc>
        <w:tc>
          <w:tcPr>
            <w:tcW w:type="dxa" w:w="1234"/>
          </w:tcPr>
          <w:p>
            <w:r>
              <w:t>22,8</w:t>
            </w:r>
          </w:p>
        </w:tc>
        <w:tc>
          <w:tcPr>
            <w:tcW w:type="dxa" w:w="1234"/>
          </w:tcPr>
          <w:p>
            <w:r>
              <w:t>ВНТП 645/1618-92, табл. 2</w:t>
            </w:r>
          </w:p>
        </w:tc>
      </w:tr>
      <w:tr>
        <w:tc>
          <w:tcPr>
            <w:tcW w:type="dxa" w:w="1234"/>
          </w:tcPr>
          <w:p>
            <w:r>
              <w:t>16</w:t>
            </w:r>
          </w:p>
        </w:tc>
        <w:tc>
          <w:tcPr>
            <w:tcW w:type="dxa" w:w="1234"/>
          </w:tcPr>
          <w:p>
            <w:r/>
          </w:p>
        </w:tc>
        <w:tc>
          <w:tcPr>
            <w:tcW w:type="dxa" w:w="1234"/>
          </w:tcPr>
          <w:p>
            <w:r>
              <w:t>Резервуар универсальный Г2-ОТ2-А</w:t>
            </w:r>
          </w:p>
        </w:tc>
        <w:tc>
          <w:tcPr>
            <w:tcW w:type="dxa" w:w="1234"/>
          </w:tcPr>
          <w:p>
            <w:r>
              <w:t>6</w:t>
            </w:r>
          </w:p>
        </w:tc>
        <w:tc>
          <w:tcPr>
            <w:tcW w:type="dxa" w:w="1234"/>
          </w:tcPr>
          <w:p>
            <w:r>
              <w:t>6,0</w:t>
            </w:r>
          </w:p>
        </w:tc>
        <w:tc>
          <w:tcPr>
            <w:tcW w:type="dxa" w:w="1234"/>
          </w:tcPr>
          <w:p>
            <w:r>
              <w:t>36,0</w:t>
            </w:r>
          </w:p>
        </w:tc>
        <w:tc>
          <w:tcPr>
            <w:tcW w:type="dxa" w:w="1234"/>
          </w:tcPr>
          <w:p>
            <w:r>
              <w:t>ВНТП 645/1618-92, табл. 2</w:t>
            </w:r>
          </w:p>
        </w:tc>
      </w:tr>
      <w:tr>
        <w:tc>
          <w:tcPr>
            <w:tcW w:type="dxa" w:w="1234"/>
          </w:tcPr>
          <w:p>
            <w:r>
              <w:t>ИТОГО площадь под оборудование</w:t>
            </w:r>
          </w:p>
        </w:tc>
        <w:tc>
          <w:tcPr>
            <w:tcW w:type="dxa" w:w="1234"/>
          </w:tcPr>
          <w:p>
            <w:r/>
          </w:p>
        </w:tc>
        <w:tc>
          <w:tcPr>
            <w:tcW w:type="dxa" w:w="1234"/>
          </w:tcPr>
          <w:p>
            <w:r/>
          </w:p>
        </w:tc>
        <w:tc>
          <w:tcPr>
            <w:tcW w:type="dxa" w:w="1234"/>
          </w:tcPr>
          <w:p>
            <w:r>
              <w:t>1 882,6</w:t>
            </w:r>
          </w:p>
        </w:tc>
        <w:tc>
          <w:tcPr>
            <w:tcW w:type="dxa" w:w="1234"/>
          </w:tcPr>
          <w:p>
            <w:r/>
          </w:p>
        </w:tc>
        <w:tc>
          <w:tcPr>
            <w:tcW w:type="dxa" w:w="1234"/>
          </w:tcPr>
          <w:p/>
        </w:tc>
        <w:tc>
          <w:tcPr>
            <w:tcW w:type="dxa" w:w="1234"/>
          </w:tcPr>
          <w:p/>
        </w:tc>
      </w:tr>
    </w:tbl>
    <w:p>
      <w:r>
        <w:t>Производственный цех</w:t>
      </w:r>
    </w:p>
    <w:tbl>
      <w:tblPr>
        <w:tblStyle w:val="TableGrid"/>
        <w:tblW w:type="auto" w:w="0"/>
        <w:tblLook w:firstColumn="1" w:firstRow="1" w:lastColumn="0" w:lastRow="0" w:noHBand="0" w:noVBand="1" w:val="04A0"/>
      </w:tblPr>
      <w:tblGrid>
        <w:gridCol w:w="2880"/>
        <w:gridCol w:w="2880"/>
        <w:gridCol w:w="2880"/>
      </w:tblGrid>
      <w:tr>
        <w:tc>
          <w:tcPr>
            <w:tcW w:type="dxa" w:w="2880"/>
          </w:tcPr>
          <w:p>
            <w:r>
              <w:t>Наименование</w:t>
            </w:r>
          </w:p>
        </w:tc>
        <w:tc>
          <w:tcPr>
            <w:tcW w:type="dxa" w:w="2880"/>
          </w:tcPr>
          <w:p>
            <w:r>
              <w:t>Расчет</w:t>
            </w:r>
          </w:p>
        </w:tc>
        <w:tc>
          <w:tcPr>
            <w:tcW w:type="dxa" w:w="2880"/>
          </w:tcPr>
          <w:p>
            <w:r>
              <w:t>Площадь</w:t>
            </w:r>
          </w:p>
        </w:tc>
      </w:tr>
      <w:tr>
        <w:tc>
          <w:tcPr>
            <w:tcW w:type="dxa" w:w="2880"/>
          </w:tcPr>
          <w:p>
            <w:r>
              <w:t>Оборудование (по таблице 2 ВНТП)</w:t>
            </w:r>
          </w:p>
        </w:tc>
        <w:tc>
          <w:tcPr>
            <w:tcW w:type="dxa" w:w="2880"/>
          </w:tcPr>
          <w:p>
            <w:r>
              <w:t>Σ</w:t>
            </w:r>
          </w:p>
        </w:tc>
        <w:tc>
          <w:tcPr>
            <w:tcW w:type="dxa" w:w="2880"/>
          </w:tcPr>
          <w:p>
            <w:r>
              <w:t>1 882,6</w:t>
            </w:r>
          </w:p>
        </w:tc>
      </w:tr>
      <w:tr>
        <w:tc>
          <w:tcPr>
            <w:tcW w:type="dxa" w:w="2880"/>
          </w:tcPr>
          <w:p>
            <w:r>
              <w:t>Проходы и технологические разрывы</w:t>
            </w:r>
          </w:p>
        </w:tc>
        <w:tc>
          <w:tcPr>
            <w:tcW w:type="dxa" w:w="2880"/>
          </w:tcPr>
          <w:p>
            <w:r>
              <w:t>30% от площади оборудования</w:t>
            </w:r>
          </w:p>
        </w:tc>
        <w:tc>
          <w:tcPr>
            <w:tcW w:type="dxa" w:w="2880"/>
          </w:tcPr>
          <w:p>
            <w:r>
              <w:t>564,8</w:t>
            </w:r>
          </w:p>
        </w:tc>
      </w:tr>
      <w:tr>
        <w:tc>
          <w:tcPr>
            <w:tcW w:type="dxa" w:w="2880"/>
          </w:tcPr>
          <w:p>
            <w:r>
              <w:t>Производственная зона итого</w:t>
            </w:r>
          </w:p>
        </w:tc>
        <w:tc>
          <w:tcPr>
            <w:tcW w:type="dxa" w:w="2880"/>
          </w:tcPr>
          <w:p>
            <w:r/>
          </w:p>
        </w:tc>
        <w:tc>
          <w:tcPr>
            <w:tcW w:type="dxa" w:w="2880"/>
          </w:tcPr>
          <w:p>
            <w:r>
              <w:t>2 447,4</w:t>
            </w:r>
          </w:p>
        </w:tc>
      </w:tr>
    </w:tbl>
    <w:p>
      <w:r>
        <w:t>Вспомогательные и складские зоны:</w:t>
      </w:r>
    </w:p>
    <w:p>
      <w:r>
        <w:t>Приемное отделение</w:t>
      </w:r>
    </w:p>
    <w:p>
      <w:r>
        <w:t>Склады сырья</w:t>
      </w:r>
    </w:p>
    <w:p>
      <w:r>
        <w:t>Холодильные камеры</w:t>
      </w:r>
    </w:p>
    <w:p>
      <w:r>
        <w:t>Экспедиция</w:t>
      </w:r>
    </w:p>
    <w:p>
      <w:r>
        <w:t>Склад готовой продукции</w:t>
      </w:r>
    </w:p>
    <w:p>
      <w:r>
        <w:t>Лаборатория контроля качества</w:t>
      </w:r>
    </w:p>
    <w:p>
      <w:r>
        <w:t>Зона мойки оборудования</w:t>
      </w:r>
    </w:p>
    <w:p>
      <w:r>
        <w:t>Инженерные помещения</w:t>
      </w:r>
    </w:p>
    <w:p>
      <w:r>
        <w:t>Санитарно-бытовые помещения</w:t>
      </w:r>
    </w:p>
    <w:p>
      <w:r>
        <w:t>Коридоры и переходы</w:t>
      </w:r>
    </w:p>
    <w:p>
      <w:r>
        <w:t>Также заказчиком дополнительно представлен расчет в отношении вспомогательных помещений, например, приемное отделение: посты разгрузки – 1 пост 60 кв.м. длиной 12 м. и шириной 5 м., весовая – 30 кв.м., лаборатория приемки 50 кв.м., зона мойки цистерн 30 кв.м. и т.д.</w:t>
      </w:r>
    </w:p>
    <w:p>
      <w:r>
        <w:t>Комиссией Управления изучены Нормы технологического проектирования предприятий молочной промышленности, утвержденные письмом Минсельхоза России от 07.04.1992 № ДН-60 (ВНТП 645/1618-92), на которые ссылается заказчик. При этом установлено, что нормы содержат, например, перечень оборудования и площадь под единицу такого оборудования.</w:t>
      </w:r>
    </w:p>
    <w:p>
      <w:r>
        <w:t>Вместе с тем, заказчиком в отзыве и дополнениях приведены количество единиц оборудования с учетом производительности и пр.</w:t>
      </w:r>
    </w:p>
    <w:p>
      <w:r>
        <w:t>Кроме того заказчиком приведены конкретные данные по вспомогательным помещениям, которые не содержатся в указанных ВНТП 645/1618-92.</w:t>
      </w:r>
    </w:p>
    <w:p>
      <w:r>
        <w:t>На вопрос Комиссии Управления каким образом происходило формирование рассматриваемого детализирующего показателя, например, с точки зрения необходимого объема производства в рамках контрактов молочной продукции, представители заказчика пояснили, что заказчик в данном случае использовал значения с точки зрения необходимости выявления производителя молочной продукции с переработкой не менее 50 тонн литров молока. А также учитывался проведенный ранее электронный конкурс «Поставка молока и творога отдельным категориям граждан Российской Федерации, зарегистрированных в городе Пензе, предусматривающий встречные инвестиционные обязательства поставщика по созданию, модернизации, освоению их производства на территории Пензенской области» с аналогичными условиями инвестирования (№ 0855300002825000831 от 12.12.2025).</w:t>
      </w:r>
    </w:p>
    <w:p>
      <w:r>
        <w:t>Комиссия Управления считает необходимым отметить, что установление идентичных показателей в отношении площади помещения не менее 5000 кв.м. в двух закупках при различных наименованиях молочной продукции (в рассматриваемом случае 11 позиций, в ранее проведенной закупке всего 2 позиции) и объеме необходимого производства, не является корректным.</w:t>
      </w:r>
    </w:p>
    <w:p>
      <w:r>
        <w:t>При этом представители заказчика затруднились пояснить конкретные составляющие примененного показателя именно в 5000 кв.м., как с точки зрения составных помещений, так и с точки зрения производительности не менее 50 тонн и пр.</w:t>
      </w:r>
    </w:p>
    <w:p>
      <w:r>
        <w:t>Комиссия Управления отмечает, что само по себе установление такого показателя оценки как наличие производственного помещения в том числе с установлением предельного минимального значения является возможным, однако любой применяемый заказчиком показатель оценки в критериях должен быть обоснованным, соизмеримым и разумным как с точки зрения выявления наилучших условий исполнения контракта, так и с точки зрения отсутствия ограничения количества участников. Что также подтверждается сложившейся административной или судебной практикой, например постановление Арбитражного суда Поволжского округа от 17.04.2026 по делу № А49-5613/2025.</w:t>
      </w:r>
    </w:p>
    <w:p>
      <w:r>
        <w:t>В рассматриваемом же случае обоснованность такого показателя оценки как наличие производственного помещения площадью именно в размере не менее 5000 кв.м. на момент рассмотрения жалобы не подтвержден.</w:t>
      </w:r>
    </w:p>
    <w:p>
      <w:r>
        <w:t>Постановлением Правительства Пензенской области от 25.02.2026 № 136-пП «Об определении уполномоченного органа на определение поставщиков (подрядчиков, исполнителей) для заказчиков Пензенской области» утверждено Положение о порядке взаимодействия заказчиков Пензенской области с уполномоченным органом и уполномоченным учреждением при определении поставщиков (подрядчиков, исполнителей) (далее – Положение).</w:t>
      </w:r>
    </w:p>
    <w:p>
      <w:r>
        <w:t>Согласно пункту 2.1 Положения заявки на закупки формируются заказчиком в электронной форме и направляются в уполномоченный орган с использованием ГИС АЦК-Госзаказ.</w:t>
      </w:r>
    </w:p>
    <w:p>
      <w:r>
        <w:t>В силу пункта 2.5.5 Положения заявка на закупку в ГИС АЦК-Госзаказ должна содержать порядок рассмотрения и оценки заявок на участие в конкурсах в соответствии с Федеральным законом в случае подачи в уполномоченный орган заявки на закупку путем проведения электронного конкурса.</w:t>
      </w:r>
    </w:p>
    <w:p>
      <w:r>
        <w:t>Пунктом 9.2 Положения предусмотрено, что ответственность за соответствие требованиям Федерального закона документов, предусмотренных подпунктами 2.5.1-2.5.8 настоящего Положения возлагается на заказчиков.</w:t>
      </w:r>
    </w:p>
    <w:p>
      <w:r>
        <w:t>Таким образом Комиссия Управления приходит к выводу о нарушении заказчиком требований пункта 11 части 1 статьи 42 Закона о контрактной системе, что содержит признаки состава административного правонарушения, ответственность за совершение которого предусмотрена частью 5 статьи 7.30.1 Кодекса Российской Федерации об административных правонарушениях.</w:t>
      </w:r>
    </w:p>
    <w:p>
      <w:r>
        <w:t>Вместе с тем Комиссия Управления как указано выше отмечает, что в случае, если заказчиком не была бы использована в Порядке шкала оценки по рассматриваемому показателю, а применялись бы формулы оценки:</w:t>
      </w:r>
    </w:p>
    <w:p>
      <w:r>
        <w:t>в случае, если лучшим является наибольшее значение характеристики объекта закупки (т.е. без установления предельного минимального значения 5000 кв.м.)</w:t>
      </w:r>
    </w:p>
    <w:p>
      <w:r>
        <w:t>или в случае, если лучшим является наибольшее значение характеристики объекта закупки и установлено предельное минимальное значение () характеристики объекта закупки</w:t>
      </w:r>
    </w:p>
    <w:p>
      <w:r>
        <w:t>Исходя из результатов оценки заявок по рассматриваемой закупке, количества участников (2) и содержания заявок участников, при представлении участниками значений 2064,3 кв.м. и 18040,9 кв.м. соответственно, даже в случае расчета по формулам результат оценки заявителя по рассматриваемому критерию не изменился бы.</w:t>
      </w:r>
    </w:p>
    <w:p>
      <w:r>
        <w:t>Расчет по критериям оценки связан со спецификой формул, приведенных в Положении, при этом в любом случае больший балл по критерию «квалификация» всегда получает участник, предложение которого выше.</w:t>
      </w:r>
    </w:p>
    <w:p>
      <w:r>
        <w:t>Более того, исходя из позиции заявителя, Общество не согласно в принципе с целесообразностью осуществления рассматриваемой закупки с точки зрения внедрения модели контракта с встречными инвестиционными обязательствами, поскольку полагает достаточным приобретение готовой молочной продукции медицинскими учреждениями.</w:t>
      </w:r>
    </w:p>
    <w:p>
      <w:r>
        <w:t>В силу части 19 статьи 48 Закона о контрактной системе в случае, если в извещении об осуществлении закупки не установлены критерии, предусмотренные пунктами 2 и 3 части 1 статьи 32 настоящего Федерального закона (прим. - расходы на эксплуатацию и ремонт товаров, использование результатов работ, качественные, функциональные и экологические характеристики объекта закупки), а также в случае включения заказчиком в соответствии с пунктом 8 части 1 статьи 33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электронный конкурс проводится в порядке, установленном настоящим Федеральным законом, с учетом следующих особенностей:</w:t>
      </w:r>
    </w:p>
    <w:p>
      <w:r>
        <w:t>1) заявка состоит из второй и третьей частей. Вторая часть должна также содержать информацию, предусмотренную подпунктом «а» (за исключением случая включения заказчиком в соответствии с пунктом 8 части 1 статьи 33 настоящего Федерального закона в описание объекта закупки проектной документации, или типовой проектной документации, или сметы на капитальный ремонт объекта капитального строительства) и подпунктом «б» пункта 2 части 1 статьи 43 настоящего Федерального закона. Положения частей 3 - 10 настоящей статьи не применяются;</w:t>
      </w:r>
    </w:p>
    <w:p>
      <w:r>
        <w:t>2) не позднее одного часа с момента окончания срока подачи заявок на участие в закупке оператор электронной площадки направляет заказчику вторые части поданных заявок на участие в закупке, а также информацию и документы, предусмотренные пунктами 2 и 3 части 6 статьи 43 настоящего Федерального закона;</w:t>
      </w:r>
    </w:p>
    <w:p>
      <w:r>
        <w:t>3) действия, предусмотренные частью 11 настоящей статьи, осуществляются не позднее двух рабочих дней со дня, следующего за днем получения в соответствии с пунктом 2 настоящей части вторых частей заявок на участие в закупке, информации и документов,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4) не позднее одного часа с момента получения протокола рассмотрения и оценки вторых частей заявок на участие в закупке в соответствии с пунктом 2 части 11 настоящей статьи оператор электронной площадки направляет заказчику третьи части заявок на участие в закупке, поданные участниками закупки, вторые части заявок которых признаны соответствующими извещению об осуществлении закупки, а также размещает протокол, предусмотренный частью 13 настоящей статьи, в единой информационной системе и на электронной площадке.</w:t>
      </w:r>
    </w:p>
    <w:p>
      <w:r>
        <w:t>В соответствии с частью 11 статьи 48 Закона о контрактной системе не позднее двух рабочих дней со дня, следующего за днем получения вторых частей заявок на участие в закупке, информации и документов в соответствии с пунктом 2 части 10 настоящей статьи, но не позднее даты окончания срока рассмотрения и оценки вторых частей заявок на участие в закупке, установленной в извещении об осуществлении закупки:</w:t>
      </w:r>
    </w:p>
    <w:p>
      <w:r>
        <w:t>1) члены комиссии по осуществлению закупок:</w:t>
      </w:r>
    </w:p>
    <w:p>
      <w:r>
        <w:t>а) рассматривают вторые части заявок на участие в закупке, а также информацию и документы, направленные оператором электронной площадки в соответствии с пунктом 2 части 10 настоящей статьи, и принимают решение о признании второй части заявки на участие в закупке соответствующей требованиям извещения об осуществлении закупки или об отклонении заявки на участие в закупке;</w:t>
      </w:r>
    </w:p>
    <w:p>
      <w:r>
        <w:t>б) осуществляют оценку вторых частей заявок на участие в закупке, в отношении которых принято решение о признании соответствующими извещению об осуществлении закупки, по критерию, предусмотренному пунктом 4 части 1 статьи 32 настоящего Федерального закона (если такой критерий установлен извещением об осуществлении закупки);</w:t>
      </w:r>
    </w:p>
    <w:p>
      <w:r>
        <w:t>2) заказчик формирует с использованием электронной площадки протокол рассмотрения и оценки вторых частей заявок на участие в закупке, после подписания членами комиссии по осуществлению закупок такого протокола усиленными электронными подписями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В силу части 14 статьи 48 Закона о контрактной системе не позднее одного часа с момента получения направленного в соответствии с пунктом 2 части 11 настоящей статьи протокола рассмотрения и оценки вторых частей заявок на участие в закупке оператор электронной площадки:</w:t>
      </w:r>
    </w:p>
    <w:p>
      <w:r>
        <w:t>1) направляет заказчику ценовые предложения участников закупки, вторые части заявок которых признаны соответствующими извещению об осуществлении закупки, а также протокол, предусмотренный пунктом 1 части 10 настоящей статьи;</w:t>
      </w:r>
    </w:p>
    <w:p>
      <w:r>
        <w:t>2) размещает протоколы, предусмотренные частями 6 и 13 настоящей статьи, в единой информационной системе и на электронной площадке.</w:t>
      </w:r>
    </w:p>
    <w:p>
      <w:r>
        <w:t>Согласно части 15 статьи 48 Закона о контрактной системе не позднее одного рабочего дня со дня, следующего за днем получения информации и документов в соответствии с пунктом 1 части 14 настоящей статьи:</w:t>
      </w:r>
    </w:p>
    <w:p>
      <w:r>
        <w:t>1) члены комиссии по осуществлению закупок:</w:t>
      </w:r>
    </w:p>
    <w:p>
      <w:r>
        <w:t>а) осуществляют оценку ценовых предложений по критерию, предусмотренному пунктом 1 части 1 статьи 32 настоящего Федерального закона;</w:t>
      </w:r>
    </w:p>
    <w:p>
      <w:r>
        <w:t>б) на основании результатов оценки первых и вторых частей заявок на участие в закупке, содержащихся в протоколах, предусмотренных частями 6 и 13 настоящей статьи, а также оценки, предусмотренной подпунктом «а» настоящего пункта, присваивают каждой заявке на участие в закупке, первая и вторая части которой признаны соответствующими извещению об осуществлении закупки, порядковый номер в порядке уменьшения степени выгодности содержащихся в таких заявках условий исполнения контракта и с учетом положений нормативных правовых актов, принятых в соответствии со статьей 14 настоящего Федерального закона. Заявке на участие в закупке победителя определения поставщика (подрядчика, исполнителя) присваивается первый номер. В случае, если в нескольких заявках на участие в закупке содержатся одинаковые условия исполнения контракта, меньший порядковый номер присваивается заявке на участие в закупке, которая поступила ранее других заявок на участие в закупке, содержащих такие же условия;</w:t>
      </w:r>
    </w:p>
    <w:p>
      <w:r>
        <w:t>2) заказчик формирует с использованием электронной площадки протокол подведения итогов определения поставщика (подрядчика, исполнителя), после подписания такого протокола усиленными электронными подписями членами комиссии по осуществлению закупок подписывает его усиленной электронной подписью лица, имеющего право действовать от имени заказчика, и направляет оператору электронной площадки.</w:t>
      </w:r>
    </w:p>
    <w:p>
      <w:r>
        <w:t>Согласно протоколу подведения итогов от 18.09.2026 на участие в закупке поступили заявки 2 участников (заявитель и заинтересованное лицо), признанные соответствующими требованиям извещения, при этом победителем закупки определен участник с номером 176 и итоговой оценкой 96,86 баллов, у подателя жалобы – 40,00 баллов.</w:t>
      </w:r>
    </w:p>
    <w:p>
      <w:r>
        <w:t>В соответствии с пунктом 2 части 22 статьи 99 Закона о контрактной системе при выявлении в результате проведения контрольным органом в сфере закупок плановых и внеплановых проверок, а также в результате рассмотрения жалобы на действия (бездействие) субъектов контроля нарушений законодательства Российской Федерации и иных нормативных правовых актов о контрактной системе в сфере закупок контрольный орган в сфере закупок вправе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w:t>
      </w:r>
    </w:p>
    <w:p>
      <w:r>
        <w:t>Принимая во внимание установленные в рамках рассмотрения жалобы и проведения внеплановой проверки обстоятельства с учетом пояснений представителей сторон, Комиссия Управления приходит к выводу об отсутствии целесообразности выдачи обязательного для исполнения предписания об устранении допущенных нарушений.</w:t>
      </w:r>
    </w:p>
    <w:p>
      <w:r>
        <w:t>Оценив материалы дела, выслушав доводы и объяснения сторон, руководствуясь частью 15 статьи 99, статьей 106 Закона о контрактной системе, Комиссия Управления</w:t>
      </w:r>
    </w:p>
    <w:p>
      <w:pPr>
        <w:pStyle w:val="Heading2"/>
      </w:pPr>
      <w:r>
        <w:t>резолютивная часть</w:t>
      </w:r>
    </w:p>
    <w:p>
      <w:r>
        <w:t>РЕШИЛА:</w:t>
      </w:r>
    </w:p>
    <w:p>
      <w:r>
        <w:t>1. Признать жалобу ООО «Каменский маслозавод» на положения извещения при проведении уполномоченным органом Министерством по тарифному регулированию и государственным закупкам Пензенской области в интересах заказчиков ГБУЗ «Областная психиатрическая больница им. К.Р. Евграфова», ГБУЗ «Пензенская областная туберкулезная больница» электронного конкурса «Поставка продуктов питания (молока и молочной продукции) со встречными инвестиционными обязательствами поставщика по созданию, модернизации, освоению производства молока и молочной продукции на территории Пензенской области» (извещение № 0155500000626000516 от 31.08.2026) частично обоснованной.</w:t>
      </w:r>
    </w:p>
    <w:p>
      <w:r>
        <w:t>2. Признать заказчика нарушившим требования пункта 11 части 1 статьи 42 Закона о контрактной системе, что содержит признаки состава административного правонарушения, ответственность за совершение которого предусмотрена частью 5 статьи 7.30.1 Кодекса Российской Федерации об административных правонарушениях.</w:t>
      </w:r>
    </w:p>
    <w:p>
      <w:r>
        <w:t>3. Предписание об устранении выявленных нарушений Закона о контрактной системе не выдавать.</w:t>
      </w:r>
    </w:p>
    <w:p>
      <w:r>
        <w:t>4. Передать материалы по жалобе должностному лицу Управления для рассмотрения вопроса о возбуждении дела об административном правонарушении.</w:t>
      </w:r>
    </w:p>
    <w:p>
      <w:r>
        <w:t>В соответствии с частью 9 статьи 106 Закона о контрактной системе решение, принятое по результатам рассмотрения жалобы по существу, может быть обжаловано в судебном порядке в течение трех месяцев с даты его принятия.</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дентификационный номер заявки</w:t>
            </w:r>
          </w:p>
        </w:tc>
        <w:tc>
          <w:tcPr>
            <w:tcW w:type="dxa" w:w="1440"/>
          </w:tcPr>
          <w:p>
            <w:r>
              <w:t>Критерий</w:t>
            </w:r>
          </w:p>
        </w:tc>
        <w:tc>
          <w:tcPr>
            <w:tcW w:type="dxa" w:w="1440"/>
          </w:tcPr>
          <w:p>
            <w:r>
              <w:t>Значимость критерия, %</w:t>
            </w:r>
          </w:p>
        </w:tc>
        <w:tc>
          <w:tcPr>
            <w:tcW w:type="dxa" w:w="1440"/>
          </w:tcPr>
          <w:p>
            <w:r>
              <w:t>Оценка по заявке</w:t>
            </w:r>
          </w:p>
        </w:tc>
        <w:tc>
          <w:tcPr>
            <w:tcW w:type="dxa" w:w="1440"/>
          </w:tcPr>
          <w:p>
            <w:r>
              <w:t>Предложение участника</w:t>
            </w:r>
          </w:p>
        </w:tc>
        <w:tc>
          <w:tcPr>
            <w:tcW w:type="dxa" w:w="1440"/>
          </w:tcPr>
          <w:p/>
        </w:tc>
      </w:tr>
      <w:tr>
        <w:tc>
          <w:tcPr>
            <w:tcW w:type="dxa" w:w="1440"/>
          </w:tcPr>
          <w:p>
            <w:r/>
          </w:p>
        </w:tc>
        <w:tc>
          <w:tcPr>
            <w:tcW w:type="dxa" w:w="1440"/>
          </w:tcPr>
          <w:p>
            <w:r/>
          </w:p>
        </w:tc>
        <w:tc>
          <w:tcPr>
            <w:tcW w:type="dxa" w:w="1440"/>
          </w:tcPr>
          <w:p>
            <w:r/>
          </w:p>
        </w:tc>
        <w:tc>
          <w:tcPr>
            <w:tcW w:type="dxa" w:w="1440"/>
          </w:tcPr>
          <w:p>
            <w:r>
              <w:t>Без учета значимости</w:t>
            </w:r>
          </w:p>
        </w:tc>
        <w:tc>
          <w:tcPr>
            <w:tcW w:type="dxa" w:w="1440"/>
          </w:tcPr>
          <w:p>
            <w:r>
              <w:t>С учетом значимости</w:t>
            </w:r>
          </w:p>
        </w:tc>
        <w:tc>
          <w:tcPr>
            <w:tcW w:type="dxa" w:w="1440"/>
          </w:tcPr>
          <w:p>
            <w:r/>
          </w:p>
        </w:tc>
      </w:tr>
      <w:tr>
        <w:tc>
          <w:tcPr>
            <w:tcW w:type="dxa" w:w="1440"/>
          </w:tcPr>
          <w:p>
            <w:r>
              <w:t>189</w:t>
            </w:r>
          </w:p>
        </w:tc>
        <w:tc>
          <w:tcPr>
            <w:tcW w:type="dxa" w:w="1440"/>
          </w:tcPr>
          <w:p>
            <w: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tcPr>
            <w:tcW w:type="dxa" w:w="1440"/>
          </w:tcPr>
          <w:p>
            <w:r>
              <w:t>40</w:t>
            </w:r>
          </w:p>
        </w:tc>
        <w:tc>
          <w:tcPr>
            <w:tcW w:type="dxa" w:w="1440"/>
          </w:tcPr>
          <w:p>
            <w:r>
              <w:t>17,05</w:t>
            </w:r>
          </w:p>
        </w:tc>
        <w:tc>
          <w:tcPr>
            <w:tcW w:type="dxa" w:w="1440"/>
          </w:tcPr>
          <w:p>
            <w:r>
              <w:t>6,82</w:t>
            </w:r>
          </w:p>
        </w:tc>
        <w:tc>
          <w:tcPr>
            <w:tcW w:type="dxa" w:w="1440"/>
          </w:tcPr>
          <w:p>
            <w:r/>
          </w:p>
        </w:tc>
      </w:tr>
      <w:tr>
        <w:tc>
          <w:tcPr>
            <w:tcW w:type="dxa" w:w="1440"/>
          </w:tcPr>
          <w:p>
            <w:r/>
          </w:p>
        </w:tc>
        <w:tc>
          <w:tcPr>
            <w:tcW w:type="dxa" w:w="1440"/>
          </w:tcPr>
          <w:p>
            <w:r>
              <w:t>Общая цена исполненных участником закупки договоров</w:t>
            </w:r>
          </w:p>
        </w:tc>
        <w:tc>
          <w:tcPr>
            <w:tcW w:type="dxa" w:w="1440"/>
          </w:tcPr>
          <w:p>
            <w:r>
              <w:t>35</w:t>
            </w:r>
          </w:p>
        </w:tc>
        <w:tc>
          <w:tcPr>
            <w:tcW w:type="dxa" w:w="1440"/>
          </w:tcPr>
          <w:p>
            <w:r>
              <w:t>13,25</w:t>
            </w:r>
          </w:p>
        </w:tc>
        <w:tc>
          <w:tcPr>
            <w:tcW w:type="dxa" w:w="1440"/>
          </w:tcPr>
          <w:p>
            <w:r>
              <w:t>4,64</w:t>
            </w:r>
          </w:p>
        </w:tc>
        <w:tc>
          <w:tcPr>
            <w:tcW w:type="dxa" w:w="1440"/>
          </w:tcPr>
          <w:p>
            <w:r>
              <w:t>73700711,81</w:t>
            </w:r>
          </w:p>
        </w:tc>
      </w:tr>
      <w:tr>
        <w:tc>
          <w:tcPr>
            <w:tcW w:type="dxa" w:w="1440"/>
          </w:tcPr>
          <w:p>
            <w:r/>
          </w:p>
        </w:tc>
        <w:tc>
          <w:tcPr>
            <w:tcW w:type="dxa" w:w="1440"/>
          </w:tcPr>
          <w:p>
            <w:r>
              <w:t>Общее количество исполненных участником закупки договоров</w:t>
            </w:r>
          </w:p>
        </w:tc>
        <w:tc>
          <w:tcPr>
            <w:tcW w:type="dxa" w:w="1440"/>
          </w:tcPr>
          <w:p>
            <w:r>
              <w:t>35</w:t>
            </w:r>
          </w:p>
        </w:tc>
        <w:tc>
          <w:tcPr>
            <w:tcW w:type="dxa" w:w="1440"/>
          </w:tcPr>
          <w:p>
            <w:r>
              <w:t>0</w:t>
            </w:r>
          </w:p>
        </w:tc>
        <w:tc>
          <w:tcPr>
            <w:tcW w:type="dxa" w:w="1440"/>
          </w:tcPr>
          <w:p>
            <w:r>
              <w:t>0</w:t>
            </w:r>
          </w:p>
        </w:tc>
        <w:tc>
          <w:tcPr>
            <w:tcW w:type="dxa" w:w="1440"/>
          </w:tcPr>
          <w:p>
            <w:r>
              <w:t>2</w:t>
            </w:r>
          </w:p>
        </w:tc>
      </w:tr>
      <w:tr>
        <w:tc>
          <w:tcPr>
            <w:tcW w:type="dxa" w:w="1440"/>
          </w:tcPr>
          <w:p>
            <w:r/>
          </w:p>
        </w:tc>
        <w:tc>
          <w:tcPr>
            <w:tcW w:type="dxa" w:w="1440"/>
          </w:tcPr>
          <w:p>
            <w:r>
              <w:t>Наибольшая цена одного из исполненных участником закупки договоров</w:t>
            </w:r>
          </w:p>
        </w:tc>
        <w:tc>
          <w:tcPr>
            <w:tcW w:type="dxa" w:w="1440"/>
          </w:tcPr>
          <w:p>
            <w:r>
              <w:t>30</w:t>
            </w:r>
          </w:p>
        </w:tc>
        <w:tc>
          <w:tcPr>
            <w:tcW w:type="dxa" w:w="1440"/>
          </w:tcPr>
          <w:p>
            <w:r>
              <w:t>41,38</w:t>
            </w:r>
          </w:p>
        </w:tc>
        <w:tc>
          <w:tcPr>
            <w:tcW w:type="dxa" w:w="1440"/>
          </w:tcPr>
          <w:p>
            <w:r>
              <w:t>12,41</w:t>
            </w:r>
          </w:p>
        </w:tc>
        <w:tc>
          <w:tcPr>
            <w:tcW w:type="dxa" w:w="1440"/>
          </w:tcPr>
          <w:p>
            <w:r>
              <w:t>68400760,07</w:t>
            </w:r>
          </w:p>
        </w:tc>
      </w:tr>
      <w:tr>
        <w:tc>
          <w:tcPr>
            <w:tcW w:type="dxa" w:w="1440"/>
          </w:tcPr>
          <w:p>
            <w:r>
              <w:t>37</w:t>
            </w:r>
          </w:p>
        </w:tc>
        <w:tc>
          <w:tcPr>
            <w:tcW w:type="dxa" w:w="1440"/>
          </w:tcPr>
          <w:p>
            <w: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tcPr>
            <w:tcW w:type="dxa" w:w="1440"/>
          </w:tcPr>
          <w:p>
            <w:r>
              <w:t>40</w:t>
            </w:r>
          </w:p>
        </w:tc>
        <w:tc>
          <w:tcPr>
            <w:tcW w:type="dxa" w:w="1440"/>
          </w:tcPr>
          <w:p>
            <w:r>
              <w:t>100</w:t>
            </w:r>
          </w:p>
        </w:tc>
        <w:tc>
          <w:tcPr>
            <w:tcW w:type="dxa" w:w="1440"/>
          </w:tcPr>
          <w:p>
            <w:r>
              <w:t>40</w:t>
            </w:r>
          </w:p>
        </w:tc>
        <w:tc>
          <w:tcPr>
            <w:tcW w:type="dxa" w:w="1440"/>
          </w:tcPr>
          <w:p>
            <w:r/>
          </w:p>
        </w:tc>
      </w:tr>
      <w:tr>
        <w:tc>
          <w:tcPr>
            <w:tcW w:type="dxa" w:w="1440"/>
          </w:tcPr>
          <w:p>
            <w:r/>
          </w:p>
        </w:tc>
        <w:tc>
          <w:tcPr>
            <w:tcW w:type="dxa" w:w="1440"/>
          </w:tcPr>
          <w:p>
            <w:r>
              <w:t>Общая цена исполненных участником закупки договоров</w:t>
            </w:r>
          </w:p>
        </w:tc>
        <w:tc>
          <w:tcPr>
            <w:tcW w:type="dxa" w:w="1440"/>
          </w:tcPr>
          <w:p>
            <w:r>
              <w:t>35</w:t>
            </w:r>
          </w:p>
        </w:tc>
        <w:tc>
          <w:tcPr>
            <w:tcW w:type="dxa" w:w="1440"/>
          </w:tcPr>
          <w:p>
            <w:r>
              <w:t>100</w:t>
            </w:r>
          </w:p>
        </w:tc>
        <w:tc>
          <w:tcPr>
            <w:tcW w:type="dxa" w:w="1440"/>
          </w:tcPr>
          <w:p>
            <w:r>
              <w:t>35</w:t>
            </w:r>
          </w:p>
        </w:tc>
        <w:tc>
          <w:tcPr>
            <w:tcW w:type="dxa" w:w="1440"/>
          </w:tcPr>
          <w:p>
            <w:r>
              <w:t>399253593,90</w:t>
            </w:r>
          </w:p>
        </w:tc>
      </w:tr>
      <w:tr>
        <w:tc>
          <w:tcPr>
            <w:tcW w:type="dxa" w:w="1440"/>
          </w:tcPr>
          <w:p>
            <w:r/>
          </w:p>
        </w:tc>
        <w:tc>
          <w:tcPr>
            <w:tcW w:type="dxa" w:w="1440"/>
          </w:tcPr>
          <w:p>
            <w:r>
              <w:t>Общее количество исполненных участником закупки договоров</w:t>
            </w:r>
          </w:p>
        </w:tc>
        <w:tc>
          <w:tcPr>
            <w:tcW w:type="dxa" w:w="1440"/>
          </w:tcPr>
          <w:p>
            <w:r>
              <w:t>35</w:t>
            </w:r>
          </w:p>
        </w:tc>
        <w:tc>
          <w:tcPr>
            <w:tcW w:type="dxa" w:w="1440"/>
          </w:tcPr>
          <w:p>
            <w:r>
              <w:t>100</w:t>
            </w:r>
          </w:p>
        </w:tc>
        <w:tc>
          <w:tcPr>
            <w:tcW w:type="dxa" w:w="1440"/>
          </w:tcPr>
          <w:p>
            <w:r>
              <w:t>35</w:t>
            </w:r>
          </w:p>
        </w:tc>
        <w:tc>
          <w:tcPr>
            <w:tcW w:type="dxa" w:w="1440"/>
          </w:tcPr>
          <w:p>
            <w:r>
              <w:t>20</w:t>
            </w:r>
          </w:p>
        </w:tc>
      </w:tr>
      <w:tr>
        <w:tc>
          <w:tcPr>
            <w:tcW w:type="dxa" w:w="1440"/>
          </w:tcPr>
          <w:p>
            <w:r/>
          </w:p>
        </w:tc>
        <w:tc>
          <w:tcPr>
            <w:tcW w:type="dxa" w:w="1440"/>
          </w:tcPr>
          <w:p>
            <w:r>
              <w:t>Наибольшая цена одного из исполненных участником закупки договоров</w:t>
            </w:r>
          </w:p>
        </w:tc>
        <w:tc>
          <w:tcPr>
            <w:tcW w:type="dxa" w:w="1440"/>
          </w:tcPr>
          <w:p>
            <w:r>
              <w:t>30</w:t>
            </w:r>
          </w:p>
        </w:tc>
        <w:tc>
          <w:tcPr>
            <w:tcW w:type="dxa" w:w="1440"/>
          </w:tcPr>
          <w:p>
            <w:r>
              <w:t>100</w:t>
            </w:r>
          </w:p>
        </w:tc>
        <w:tc>
          <w:tcPr>
            <w:tcW w:type="dxa" w:w="1440"/>
          </w:tcPr>
          <w:p>
            <w:r>
              <w:t>30</w:t>
            </w:r>
          </w:p>
        </w:tc>
        <w:tc>
          <w:tcPr>
            <w:tcW w:type="dxa" w:w="1440"/>
          </w:tcPr>
          <w:p>
            <w:r>
              <w:t>150508295,00</w:t>
            </w:r>
          </w:p>
        </w:tc>
      </w:tr>
      <w:tr>
        <w:tc>
          <w:tcPr>
            <w:tcW w:type="dxa" w:w="1440"/>
          </w:tcPr>
          <w:p>
            <w:r>
              <w:t>63</w:t>
            </w:r>
          </w:p>
        </w:tc>
        <w:tc>
          <w:tcPr>
            <w:tcW w:type="dxa" w:w="1440"/>
          </w:tcPr>
          <w:p>
            <w: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tcPr>
            <w:tcW w:type="dxa" w:w="1440"/>
          </w:tcPr>
          <w:p>
            <w:r>
              <w:t>40</w:t>
            </w:r>
          </w:p>
        </w:tc>
        <w:tc>
          <w:tcPr>
            <w:tcW w:type="dxa" w:w="1440"/>
          </w:tcPr>
          <w:p>
            <w:r>
              <w:t>5,83</w:t>
            </w:r>
          </w:p>
        </w:tc>
        <w:tc>
          <w:tcPr>
            <w:tcW w:type="dxa" w:w="1440"/>
          </w:tcPr>
          <w:p>
            <w:r>
              <w:t>2,33</w:t>
            </w:r>
          </w:p>
        </w:tc>
        <w:tc>
          <w:tcPr>
            <w:tcW w:type="dxa" w:w="1440"/>
          </w:tcPr>
          <w:p>
            <w:r/>
          </w:p>
        </w:tc>
      </w:tr>
      <w:tr>
        <w:tc>
          <w:tcPr>
            <w:tcW w:type="dxa" w:w="1440"/>
          </w:tcPr>
          <w:p>
            <w:r/>
          </w:p>
        </w:tc>
        <w:tc>
          <w:tcPr>
            <w:tcW w:type="dxa" w:w="1440"/>
          </w:tcPr>
          <w:p>
            <w:r>
              <w:t>Общая цена исполненных участником закупки договоров</w:t>
            </w:r>
          </w:p>
        </w:tc>
        <w:tc>
          <w:tcPr>
            <w:tcW w:type="dxa" w:w="1440"/>
          </w:tcPr>
          <w:p>
            <w:r>
              <w:t>35</w:t>
            </w:r>
          </w:p>
        </w:tc>
        <w:tc>
          <w:tcPr>
            <w:tcW w:type="dxa" w:w="1440"/>
          </w:tcPr>
          <w:p>
            <w:r>
              <w:t>0</w:t>
            </w:r>
          </w:p>
        </w:tc>
        <w:tc>
          <w:tcPr>
            <w:tcW w:type="dxa" w:w="1440"/>
          </w:tcPr>
          <w:p>
            <w:r>
              <w:t>0</w:t>
            </w:r>
          </w:p>
        </w:tc>
        <w:tc>
          <w:tcPr>
            <w:tcW w:type="dxa" w:w="1440"/>
          </w:tcPr>
          <w:p>
            <w:r>
              <w:t>23991155,14</w:t>
            </w:r>
          </w:p>
        </w:tc>
      </w:tr>
      <w:tr>
        <w:tc>
          <w:tcPr>
            <w:tcW w:type="dxa" w:w="1440"/>
          </w:tcPr>
          <w:p>
            <w:r/>
          </w:p>
        </w:tc>
        <w:tc>
          <w:tcPr>
            <w:tcW w:type="dxa" w:w="1440"/>
          </w:tcPr>
          <w:p>
            <w:r>
              <w:t>Общее количество исполненных участником закупки договоров</w:t>
            </w:r>
          </w:p>
        </w:tc>
        <w:tc>
          <w:tcPr>
            <w:tcW w:type="dxa" w:w="1440"/>
          </w:tcPr>
          <w:p>
            <w:r>
              <w:t>35</w:t>
            </w:r>
          </w:p>
        </w:tc>
        <w:tc>
          <w:tcPr>
            <w:tcW w:type="dxa" w:w="1440"/>
          </w:tcPr>
          <w:p>
            <w:r>
              <w:t>16,67</w:t>
            </w:r>
          </w:p>
        </w:tc>
        <w:tc>
          <w:tcPr>
            <w:tcW w:type="dxa" w:w="1440"/>
          </w:tcPr>
          <w:p>
            <w:r>
              <w:t>5,83</w:t>
            </w:r>
          </w:p>
        </w:tc>
        <w:tc>
          <w:tcPr>
            <w:tcW w:type="dxa" w:w="1440"/>
          </w:tcPr>
          <w:p>
            <w:r>
              <w:t>5</w:t>
            </w:r>
          </w:p>
        </w:tc>
      </w:tr>
      <w:tr>
        <w:tc>
          <w:tcPr>
            <w:tcW w:type="dxa" w:w="1440"/>
          </w:tcPr>
          <w:p>
            <w:r/>
          </w:p>
        </w:tc>
        <w:tc>
          <w:tcPr>
            <w:tcW w:type="dxa" w:w="1440"/>
          </w:tcPr>
          <w:p>
            <w:r>
              <w:t>Наибольшая цена одного из исполненных участником закупки договоров</w:t>
            </w:r>
          </w:p>
        </w:tc>
        <w:tc>
          <w:tcPr>
            <w:tcW w:type="dxa" w:w="1440"/>
          </w:tcPr>
          <w:p>
            <w:r>
              <w:t>30</w:t>
            </w:r>
          </w:p>
        </w:tc>
        <w:tc>
          <w:tcPr>
            <w:tcW w:type="dxa" w:w="1440"/>
          </w:tcPr>
          <w:p>
            <w:r>
              <w:t>0</w:t>
            </w:r>
          </w:p>
        </w:tc>
        <w:tc>
          <w:tcPr>
            <w:tcW w:type="dxa" w:w="1440"/>
          </w:tcPr>
          <w:p>
            <w:r>
              <w:t>0</w:t>
            </w:r>
          </w:p>
        </w:tc>
        <w:tc>
          <w:tcPr>
            <w:tcW w:type="dxa" w:w="1440"/>
          </w:tcPr>
          <w:p>
            <w:r>
              <w:t>10441985,59</w:t>
            </w:r>
          </w:p>
        </w:tc>
      </w:tr>
      <w:tr>
        <w:tc>
          <w:tcPr>
            <w:tcW w:type="dxa" w:w="1440"/>
          </w:tcPr>
          <w:p>
            <w:r>
              <w:t>101</w:t>
            </w:r>
          </w:p>
        </w:tc>
        <w:tc>
          <w:tcPr>
            <w:tcW w:type="dxa" w:w="1440"/>
          </w:tcPr>
          <w:p>
            <w: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w:t>
            </w:r>
          </w:p>
        </w:tc>
        <w:tc>
          <w:tcPr>
            <w:tcW w:type="dxa" w:w="1440"/>
          </w:tcPr>
          <w:p>
            <w:r>
              <w:t>40</w:t>
            </w:r>
          </w:p>
        </w:tc>
        <w:tc>
          <w:tcPr>
            <w:tcW w:type="dxa" w:w="1440"/>
          </w:tcPr>
          <w:p>
            <w:r>
              <w:t>58,81</w:t>
            </w:r>
          </w:p>
        </w:tc>
        <w:tc>
          <w:tcPr>
            <w:tcW w:type="dxa" w:w="1440"/>
          </w:tcPr>
          <w:p>
            <w:r>
              <w:t>23,52</w:t>
            </w:r>
          </w:p>
        </w:tc>
        <w:tc>
          <w:tcPr>
            <w:tcW w:type="dxa" w:w="1440"/>
          </w:tcPr>
          <w:p>
            <w:r/>
          </w:p>
        </w:tc>
      </w:tr>
      <w:tr>
        <w:tc>
          <w:tcPr>
            <w:tcW w:type="dxa" w:w="1440"/>
          </w:tcPr>
          <w:p>
            <w:r/>
          </w:p>
        </w:tc>
        <w:tc>
          <w:tcPr>
            <w:tcW w:type="dxa" w:w="1440"/>
          </w:tcPr>
          <w:p>
            <w:r>
              <w:t>Общая цена исполненных участником закупки договоров</w:t>
            </w:r>
          </w:p>
        </w:tc>
        <w:tc>
          <w:tcPr>
            <w:tcW w:type="dxa" w:w="1440"/>
          </w:tcPr>
          <w:p>
            <w:r>
              <w:t>35</w:t>
            </w:r>
          </w:p>
        </w:tc>
        <w:tc>
          <w:tcPr>
            <w:tcW w:type="dxa" w:w="1440"/>
          </w:tcPr>
          <w:p>
            <w:r>
              <w:t>66,86</w:t>
            </w:r>
          </w:p>
        </w:tc>
        <w:tc>
          <w:tcPr>
            <w:tcW w:type="dxa" w:w="1440"/>
          </w:tcPr>
          <w:p>
            <w:r>
              <w:t>23,40</w:t>
            </w:r>
          </w:p>
        </w:tc>
        <w:tc>
          <w:tcPr>
            <w:tcW w:type="dxa" w:w="1440"/>
          </w:tcPr>
          <w:p>
            <w:r>
              <w:t>274891899,50</w:t>
            </w:r>
          </w:p>
        </w:tc>
      </w:tr>
      <w:tr>
        <w:tc>
          <w:tcPr>
            <w:tcW w:type="dxa" w:w="1440"/>
          </w:tcPr>
          <w:p>
            <w:r/>
          </w:p>
        </w:tc>
        <w:tc>
          <w:tcPr>
            <w:tcW w:type="dxa" w:w="1440"/>
          </w:tcPr>
          <w:p>
            <w:r>
              <w:t>Общее количество исполненных участником закупки договоров</w:t>
            </w:r>
          </w:p>
        </w:tc>
        <w:tc>
          <w:tcPr>
            <w:tcW w:type="dxa" w:w="1440"/>
          </w:tcPr>
          <w:p>
            <w:r>
              <w:t>35</w:t>
            </w:r>
          </w:p>
        </w:tc>
        <w:tc>
          <w:tcPr>
            <w:tcW w:type="dxa" w:w="1440"/>
          </w:tcPr>
          <w:p>
            <w:r>
              <w:t>33,33</w:t>
            </w:r>
          </w:p>
        </w:tc>
        <w:tc>
          <w:tcPr>
            <w:tcW w:type="dxa" w:w="1440"/>
          </w:tcPr>
          <w:p>
            <w:r>
              <w:t>11,67</w:t>
            </w:r>
          </w:p>
        </w:tc>
        <w:tc>
          <w:tcPr>
            <w:tcW w:type="dxa" w:w="1440"/>
          </w:tcPr>
          <w:p>
            <w:r>
              <w:t>8</w:t>
            </w:r>
          </w:p>
        </w:tc>
      </w:tr>
      <w:tr>
        <w:tc>
          <w:tcPr>
            <w:tcW w:type="dxa" w:w="1440"/>
          </w:tcPr>
          <w:p>
            <w:r/>
          </w:p>
        </w:tc>
        <w:tc>
          <w:tcPr>
            <w:tcW w:type="dxa" w:w="1440"/>
          </w:tcPr>
          <w:p>
            <w:r>
              <w:t>Наибольшая цена одного из исполненных участником закупки договоров</w:t>
            </w:r>
          </w:p>
        </w:tc>
        <w:tc>
          <w:tcPr>
            <w:tcW w:type="dxa" w:w="1440"/>
          </w:tcPr>
          <w:p>
            <w:r>
              <w:t>30</w:t>
            </w:r>
          </w:p>
        </w:tc>
        <w:tc>
          <w:tcPr>
            <w:tcW w:type="dxa" w:w="1440"/>
          </w:tcPr>
          <w:p>
            <w:r>
              <w:t>79,12</w:t>
            </w:r>
          </w:p>
        </w:tc>
        <w:tc>
          <w:tcPr>
            <w:tcW w:type="dxa" w:w="1440"/>
          </w:tcPr>
          <w:p>
            <w:r>
              <w:t>23,74</w:t>
            </w:r>
          </w:p>
        </w:tc>
        <w:tc>
          <w:tcPr>
            <w:tcW w:type="dxa" w:w="1440"/>
          </w:tcPr>
          <w:p>
            <w:r>
              <w:t>121268090,29</w:t>
            </w:r>
          </w:p>
        </w:tc>
      </w:tr>
    </w:tbl>
    <w:p>
      <w:r>
        <w:t>В соответствии с протоколом подведения итогов от 29.04.2026 с учетом ценовых предложений итоговая оценка заявок выглядит следующим образом:</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t>Идентификац. номер заявки, присвоенный оператором</w:t>
            </w:r>
          </w:p>
        </w:tc>
        <w:tc>
          <w:tcPr>
            <w:tcW w:type="dxa" w:w="1728"/>
          </w:tcPr>
          <w:p>
            <w:r>
              <w:t>Оценка второй части заявки по критерию, установленному п. 4 ч. 1. ст. 32 Закона № 44-ФЗ</w:t>
            </w:r>
          </w:p>
        </w:tc>
        <w:tc>
          <w:tcPr>
            <w:tcW w:type="dxa" w:w="1728"/>
          </w:tcPr>
          <w:p>
            <w:r>
              <w:t>Оценка по критерию, установленному п. 1 ч. 1. ст. 32 Закона № 44-ФЗ</w:t>
            </w:r>
          </w:p>
        </w:tc>
        <w:tc>
          <w:tcPr>
            <w:tcW w:type="dxa" w:w="1728"/>
          </w:tcPr>
          <w:p>
            <w:r>
              <w:t>Итоговая оценка, по всем критериям, предусмотренным в протоколе</w:t>
            </w:r>
          </w:p>
        </w:tc>
        <w:tc>
          <w:tcPr>
            <w:tcW w:type="dxa" w:w="1728"/>
          </w:tcPr>
          <w:p>
            <w:r>
              <w:t>Ценовое предложение</w:t>
              <w:br/>
              <w:t>(руб.)</w:t>
            </w:r>
          </w:p>
        </w:tc>
      </w:tr>
      <w:tr>
        <w:tc>
          <w:tcPr>
            <w:tcW w:type="dxa" w:w="1728"/>
          </w:tcPr>
          <w:p>
            <w:r>
              <w:t>37</w:t>
            </w:r>
          </w:p>
        </w:tc>
        <w:tc>
          <w:tcPr>
            <w:tcW w:type="dxa" w:w="1728"/>
          </w:tcPr>
          <w:p>
            <w:r>
              <w:t>40,00</w:t>
            </w:r>
          </w:p>
        </w:tc>
        <w:tc>
          <w:tcPr>
            <w:tcW w:type="dxa" w:w="1728"/>
          </w:tcPr>
          <w:p>
            <w:r>
              <w:t>55,11</w:t>
            </w:r>
          </w:p>
        </w:tc>
        <w:tc>
          <w:tcPr>
            <w:tcW w:type="dxa" w:w="1728"/>
          </w:tcPr>
          <w:p>
            <w:r>
              <w:t>95,11</w:t>
            </w:r>
          </w:p>
        </w:tc>
        <w:tc>
          <w:tcPr>
            <w:tcW w:type="dxa" w:w="1728"/>
          </w:tcPr>
          <w:p>
            <w:r>
              <w:t>93 094 385,00</w:t>
            </w:r>
          </w:p>
        </w:tc>
      </w:tr>
      <w:tr>
        <w:tc>
          <w:tcPr>
            <w:tcW w:type="dxa" w:w="1728"/>
          </w:tcPr>
          <w:p>
            <w:r>
              <w:t>101</w:t>
            </w:r>
          </w:p>
        </w:tc>
        <w:tc>
          <w:tcPr>
            <w:tcW w:type="dxa" w:w="1728"/>
          </w:tcPr>
          <w:p>
            <w:r>
              <w:t>23,52</w:t>
            </w:r>
          </w:p>
        </w:tc>
        <w:tc>
          <w:tcPr>
            <w:tcW w:type="dxa" w:w="1728"/>
          </w:tcPr>
          <w:p>
            <w:r>
              <w:t>57,70</w:t>
            </w:r>
          </w:p>
        </w:tc>
        <w:tc>
          <w:tcPr>
            <w:tcW w:type="dxa" w:w="1728"/>
          </w:tcPr>
          <w:p>
            <w:r>
              <w:t>81,22</w:t>
            </w:r>
          </w:p>
        </w:tc>
        <w:tc>
          <w:tcPr>
            <w:tcW w:type="dxa" w:w="1728"/>
          </w:tcPr>
          <w:p>
            <w:r>
              <w:t>89 390 000,00</w:t>
            </w:r>
          </w:p>
        </w:tc>
      </w:tr>
      <w:tr>
        <w:tc>
          <w:tcPr>
            <w:tcW w:type="dxa" w:w="1728"/>
          </w:tcPr>
          <w:p>
            <w:r>
              <w:t>189</w:t>
            </w:r>
          </w:p>
        </w:tc>
        <w:tc>
          <w:tcPr>
            <w:tcW w:type="dxa" w:w="1728"/>
          </w:tcPr>
          <w:p>
            <w:r>
              <w:t>6,82</w:t>
            </w:r>
          </w:p>
        </w:tc>
        <w:tc>
          <w:tcPr>
            <w:tcW w:type="dxa" w:w="1728"/>
          </w:tcPr>
          <w:p>
            <w:r>
              <w:t>60,00</w:t>
            </w:r>
          </w:p>
        </w:tc>
        <w:tc>
          <w:tcPr>
            <w:tcW w:type="dxa" w:w="1728"/>
          </w:tcPr>
          <w:p>
            <w:r>
              <w:t>66,82</w:t>
            </w:r>
          </w:p>
        </w:tc>
        <w:tc>
          <w:tcPr>
            <w:tcW w:type="dxa" w:w="1728"/>
          </w:tcPr>
          <w:p>
            <w:r>
              <w:t>86 080 890,00</w:t>
            </w:r>
          </w:p>
        </w:tc>
      </w:tr>
      <w:tr>
        <w:tc>
          <w:tcPr>
            <w:tcW w:type="dxa" w:w="1728"/>
          </w:tcPr>
          <w:p>
            <w:r>
              <w:t>63</w:t>
            </w:r>
          </w:p>
        </w:tc>
        <w:tc>
          <w:tcPr>
            <w:tcW w:type="dxa" w:w="1728"/>
          </w:tcPr>
          <w:p>
            <w:r>
              <w:t>2,33</w:t>
            </w:r>
          </w:p>
        </w:tc>
        <w:tc>
          <w:tcPr>
            <w:tcW w:type="dxa" w:w="1728"/>
          </w:tcPr>
          <w:p>
            <w:r>
              <w:t>57,62</w:t>
            </w:r>
          </w:p>
        </w:tc>
        <w:tc>
          <w:tcPr>
            <w:tcW w:type="dxa" w:w="1728"/>
          </w:tcPr>
          <w:p>
            <w:r>
              <w:t>59,95</w:t>
            </w:r>
          </w:p>
        </w:tc>
        <w:tc>
          <w:tcPr>
            <w:tcW w:type="dxa" w:w="1728"/>
          </w:tcPr>
          <w:p>
            <w:r>
              <w:t>89 500 000,00</w:t>
            </w:r>
          </w:p>
        </w:tc>
      </w:tr>
    </w:tbl>
    <w:p>
      <w:r>
        <w:t>Как установлено Комиссией Управления ООО «СК Триалети» (заявка № 101) в структурированной части заявки указано предложение по детализирующим показателям оценки критерия «квалификация участников»:</w:t>
      </w:r>
    </w:p>
    <w:p>
      <w:r>
        <w:t>Общая цена исполненных участником закупки договоров – 885 356 197,35,</w:t>
      </w:r>
    </w:p>
    <w:p>
      <w:r>
        <w:t>Общее количество исполненных участником закупки договоров – 31,</w:t>
      </w:r>
    </w:p>
    <w:p>
      <w:r>
        <w:t>Наибольшая цена одного из исполненных участником закупки договоров – 121 268 090,29.</w:t>
      </w:r>
    </w:p>
    <w:p>
      <w:r>
        <w:t>Также в составе второй части заявки представлены сведения для оценки по критерию «квалификация участников» (включая соответствующие документы): договоры, контракты, документы об исполнении, сведения о квалификации в табличной форме (файл «Сведения об опыте участника».xlsx).</w:t>
      </w:r>
    </w:p>
    <w:p>
      <w:r>
        <w:t>Кроме того, оператором электронной площадки также направлены сведения о соответствии ООО «СК Триалети» дополнительному требованию в рамках позиции № 10 приложения к Постановлению № 2571 по контракту на сумму 121 268 090,29 руб.</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Номер контракта (договора)</w:t>
            </w:r>
          </w:p>
        </w:tc>
        <w:tc>
          <w:tcPr>
            <w:tcW w:type="dxa" w:w="2160"/>
          </w:tcPr>
          <w:p>
            <w:r>
              <w:t>Цена контракта (договора) (рублей с НДС)</w:t>
            </w:r>
          </w:p>
        </w:tc>
        <w:tc>
          <w:tcPr>
            <w:tcW w:type="dxa" w:w="2160"/>
          </w:tcPr>
          <w:p>
            <w:r>
              <w:t>Стоимость выполненных работ (оказанных услуг) в стоимостном выражении (рублей с НДС)</w:t>
            </w:r>
          </w:p>
        </w:tc>
        <w:tc>
          <w:tcPr>
            <w:tcW w:type="dxa" w:w="2160"/>
          </w:tcPr>
          <w:p>
            <w:r>
              <w:t>Номер реестровой записи из реестра контрактов заключенных и исполненных в соответствии с ФЗ-44, и договора, заключенные и исполненные в соответствии с ФЗ-223 «О закупках товаров, работ, услуг отдельными видами юридических лиц»</w:t>
            </w:r>
          </w:p>
        </w:tc>
      </w:tr>
      <w:tr>
        <w:tc>
          <w:tcPr>
            <w:tcW w:type="dxa" w:w="2160"/>
          </w:tcPr>
          <w:p>
            <w:r>
              <w:t>0129200005323002967</w:t>
            </w:r>
          </w:p>
        </w:tc>
        <w:tc>
          <w:tcPr>
            <w:tcW w:type="dxa" w:w="2160"/>
          </w:tcPr>
          <w:p>
            <w:r>
              <w:t>121 268 090,29</w:t>
            </w:r>
          </w:p>
        </w:tc>
        <w:tc>
          <w:tcPr>
            <w:tcW w:type="dxa" w:w="2160"/>
          </w:tcPr>
          <w:p>
            <w:r>
              <w:t>121 268 090,29</w:t>
            </w:r>
          </w:p>
        </w:tc>
        <w:tc>
          <w:tcPr>
            <w:tcW w:type="dxa" w:w="2160"/>
          </w:tcPr>
          <w:p>
            <w:r>
              <w:t>3340700668223000010</w:t>
            </w:r>
          </w:p>
        </w:tc>
      </w:tr>
      <w:tr>
        <w:tc>
          <w:tcPr>
            <w:tcW w:type="dxa" w:w="2160"/>
          </w:tcPr>
          <w:p>
            <w:r>
              <w:t>03292000622230093840001</w:t>
            </w:r>
          </w:p>
        </w:tc>
        <w:tc>
          <w:tcPr>
            <w:tcW w:type="dxa" w:w="2160"/>
          </w:tcPr>
          <w:p>
            <w:r>
              <w:t>84 748 967,27</w:t>
            </w:r>
          </w:p>
        </w:tc>
        <w:tc>
          <w:tcPr>
            <w:tcW w:type="dxa" w:w="2160"/>
          </w:tcPr>
          <w:p>
            <w:r>
              <w:t>84 748 967,27</w:t>
            </w:r>
          </w:p>
        </w:tc>
        <w:tc>
          <w:tcPr>
            <w:tcW w:type="dxa" w:w="2160"/>
          </w:tcPr>
          <w:p>
            <w:r>
              <w:t>3340700679523000012</w:t>
            </w:r>
          </w:p>
        </w:tc>
      </w:tr>
      <w:tr>
        <w:tc>
          <w:tcPr>
            <w:tcW w:type="dxa" w:w="2160"/>
          </w:tcPr>
          <w:p>
            <w:r>
              <w:t>02923</w:t>
            </w:r>
          </w:p>
        </w:tc>
        <w:tc>
          <w:tcPr>
            <w:tcW w:type="dxa" w:w="2160"/>
          </w:tcPr>
          <w:p>
            <w:r>
              <w:t>10 715 205,60</w:t>
            </w:r>
          </w:p>
        </w:tc>
        <w:tc>
          <w:tcPr>
            <w:tcW w:type="dxa" w:w="2160"/>
          </w:tcPr>
          <w:p>
            <w:r>
              <w:t>10 715 205,60</w:t>
            </w:r>
          </w:p>
        </w:tc>
        <w:tc>
          <w:tcPr>
            <w:tcW w:type="dxa" w:w="2160"/>
          </w:tcPr>
          <w:p>
            <w:r>
              <w:t>2340620009122000109</w:t>
            </w:r>
          </w:p>
        </w:tc>
      </w:tr>
      <w:tr>
        <w:tc>
          <w:tcPr>
            <w:tcW w:type="dxa" w:w="2160"/>
          </w:tcPr>
          <w:p>
            <w:r>
              <w:t>2985</w:t>
            </w:r>
          </w:p>
        </w:tc>
        <w:tc>
          <w:tcPr>
            <w:tcW w:type="dxa" w:w="2160"/>
          </w:tcPr>
          <w:p>
            <w:r>
              <w:t>17 509 703,75</w:t>
            </w:r>
          </w:p>
        </w:tc>
        <w:tc>
          <w:tcPr>
            <w:tcW w:type="dxa" w:w="2160"/>
          </w:tcPr>
          <w:p>
            <w:r>
              <w:t>17 509 703,75</w:t>
            </w:r>
          </w:p>
        </w:tc>
        <w:tc>
          <w:tcPr>
            <w:tcW w:type="dxa" w:w="2160"/>
          </w:tcPr>
          <w:p>
            <w:r>
              <w:t>3340710072722000136</w:t>
            </w:r>
          </w:p>
        </w:tc>
      </w:tr>
      <w:tr>
        <w:tc>
          <w:tcPr>
            <w:tcW w:type="dxa" w:w="2160"/>
          </w:tcPr>
          <w:p>
            <w:r>
              <w:t>0823</w:t>
            </w:r>
          </w:p>
        </w:tc>
        <w:tc>
          <w:tcPr>
            <w:tcW w:type="dxa" w:w="2160"/>
          </w:tcPr>
          <w:p>
            <w:r>
              <w:t>8 436 600,92</w:t>
            </w:r>
          </w:p>
        </w:tc>
        <w:tc>
          <w:tcPr>
            <w:tcW w:type="dxa" w:w="2160"/>
          </w:tcPr>
          <w:p>
            <w:r>
              <w:t>8 436 600,92</w:t>
            </w:r>
          </w:p>
        </w:tc>
        <w:tc>
          <w:tcPr>
            <w:tcW w:type="dxa" w:w="2160"/>
          </w:tcPr>
          <w:p>
            <w:r>
              <w:t>2340620009123000027</w:t>
            </w:r>
          </w:p>
        </w:tc>
      </w:tr>
      <w:tr>
        <w:tc>
          <w:tcPr>
            <w:tcW w:type="dxa" w:w="2160"/>
          </w:tcPr>
          <w:p>
            <w:r>
              <w:t>327</w:t>
            </w:r>
          </w:p>
        </w:tc>
        <w:tc>
          <w:tcPr>
            <w:tcW w:type="dxa" w:w="2160"/>
          </w:tcPr>
          <w:p>
            <w:r>
              <w:t>8 041 782,11</w:t>
            </w:r>
          </w:p>
        </w:tc>
        <w:tc>
          <w:tcPr>
            <w:tcW w:type="dxa" w:w="2160"/>
          </w:tcPr>
          <w:p>
            <w:r>
              <w:t>8 041 782,11</w:t>
            </w:r>
          </w:p>
        </w:tc>
        <w:tc>
          <w:tcPr>
            <w:tcW w:type="dxa" w:w="2160"/>
          </w:tcPr>
          <w:p>
            <w:r>
              <w:t>3340710072723000068</w:t>
            </w:r>
          </w:p>
        </w:tc>
      </w:tr>
      <w:tr>
        <w:tc>
          <w:tcPr>
            <w:tcW w:type="dxa" w:w="2160"/>
          </w:tcPr>
          <w:p>
            <w:r>
              <w:t>0360300015922000002</w:t>
            </w:r>
          </w:p>
        </w:tc>
        <w:tc>
          <w:tcPr>
            <w:tcW w:type="dxa" w:w="2160"/>
          </w:tcPr>
          <w:p>
            <w:r>
              <w:t>10 331 644,08</w:t>
            </w:r>
          </w:p>
        </w:tc>
        <w:tc>
          <w:tcPr>
            <w:tcW w:type="dxa" w:w="2160"/>
          </w:tcPr>
          <w:p>
            <w:r>
              <w:t>10 331 644,08</w:t>
            </w:r>
          </w:p>
        </w:tc>
        <w:tc>
          <w:tcPr>
            <w:tcW w:type="dxa" w:w="2160"/>
          </w:tcPr>
          <w:p>
            <w:r>
              <w:t>36409001533 22 000001</w:t>
            </w:r>
          </w:p>
        </w:tc>
      </w:tr>
      <w:tr>
        <w:tc>
          <w:tcPr>
            <w:tcW w:type="dxa" w:w="2160"/>
          </w:tcPr>
          <w:p>
            <w:r>
              <w:t>0329200062221001004</w:t>
            </w:r>
          </w:p>
        </w:tc>
        <w:tc>
          <w:tcPr>
            <w:tcW w:type="dxa" w:w="2160"/>
          </w:tcPr>
          <w:p>
            <w:r>
              <w:t>13 839 905,45</w:t>
            </w:r>
          </w:p>
        </w:tc>
        <w:tc>
          <w:tcPr>
            <w:tcW w:type="dxa" w:w="2160"/>
          </w:tcPr>
          <w:p>
            <w:r>
              <w:t>13 839 905,45</w:t>
            </w:r>
          </w:p>
        </w:tc>
        <w:tc>
          <w:tcPr>
            <w:tcW w:type="dxa" w:w="2160"/>
          </w:tcPr>
          <w:p>
            <w:r>
              <w:t>33407101640 21 000006</w:t>
            </w:r>
          </w:p>
        </w:tc>
      </w:tr>
      <w:tr>
        <w:tc>
          <w:tcPr>
            <w:tcW w:type="dxa" w:w="2160"/>
          </w:tcPr>
          <w:p>
            <w:r>
              <w:t>9-ОКЭФ</w:t>
            </w:r>
          </w:p>
        </w:tc>
        <w:tc>
          <w:tcPr>
            <w:tcW w:type="dxa" w:w="2160"/>
          </w:tcPr>
          <w:p>
            <w:r>
              <w:t>54 577 170,14</w:t>
            </w:r>
          </w:p>
        </w:tc>
        <w:tc>
          <w:tcPr>
            <w:tcW w:type="dxa" w:w="2160"/>
          </w:tcPr>
          <w:p>
            <w:r>
              <w:t>53 080 127,70</w:t>
            </w:r>
          </w:p>
        </w:tc>
        <w:tc>
          <w:tcPr>
            <w:tcW w:type="dxa" w:w="2160"/>
          </w:tcPr>
          <w:p>
            <w:r>
              <w:t>23445127712 20 000058</w:t>
            </w:r>
          </w:p>
        </w:tc>
      </w:tr>
    </w:tbl>
    <w:p>
      <w:r>
        <w:t>Как установлено Комиссией Управления заявителем представлены сведения о 31 контракте/договоре (учитывая превышение предельного максимального значения – к учету могли быть приняты 20), из них 9 – контракты, заключенные в соответствии с Законом о контрактной системе, приведены соответствующие реестровые записи из реестра контрактов.</w:t>
      </w:r>
    </w:p>
    <w:p>
      <w:r>
        <w:t>Как указано выше комиссия при оценке вторых частей заявок учла следующие данные:</w:t>
      </w:r>
    </w:p>
    <w:p>
      <w:r>
        <w:t>Общая цена исполненных участником закупки договоров – 274 891 899,50,</w:t>
      </w:r>
    </w:p>
    <w:p>
      <w:r>
        <w:t>Общее количество исполненных участником закупки договоров – 8,</w:t>
      </w:r>
    </w:p>
    <w:p>
      <w:r>
        <w:t>Наибольшая цена одного из исполненных участником закупки договоров – 121 268 090,29.</w:t>
      </w:r>
    </w:p>
    <w:p>
      <w:r>
        <w:t>Представители заказчика при рассмотрении жалобы указали, что в рамках оценки заявки подателя жалобы по критерию «квалификация участников» комиссия проанализировала документы, представленные участником в составе заявки, при этом проверяя сведения о контрактах и договорах в реестре контрактов/договоров соответственно не обнаружила такой информации в реестре договоров, заключенных в рамках Федерального закона от 18.07.2011 № 223-ФЗ «О закупках товаров, работ, услуг отдельными видами юридических лиц» (далее – Закон № 223-ФЗ), также прийти к выводу о заключении части договоров именно в соответствии с Законом № 223-ФЗ исходя из текста представленных документов не представлялось возможным. Более того, при проверке сведений в реестре контрактов, заключенных в соответствии с Законом о контрактной системе, в отношении одного из контрактов, сведения о котором содержались в составе заявки, комиссией был выявлен факт выставления неустойки, при этом информация о ее оплате, списании или ином погашении отсутствовала. Таким образом комиссия учла при оценке только контракты, заключенные в соответствии с Законом о контрактной системе, сведения о которых в единой информационной системе не содержали информацию о неисполненных требованиях по оплате неустоек.</w:t>
      </w:r>
    </w:p>
    <w:p>
      <w:r>
        <w:t>Таким образом, комиссия учла 8 из 9 контрактов, заключенных в соответствии с Законом о контрактной системе на общую сумму 274 891 899,47 (округ. 274 891 899,50).</w:t>
      </w:r>
    </w:p>
    <w:p>
      <w:r>
        <w:t>Комиссией Управления установлено, что по контракту с реестровой записью № 2344512771220000058 в реестре контрактов ЕИС содержатся сведения о начислении неустойки, однако информация о ее погашении отсутствует.</w:t>
      </w:r>
    </w:p>
    <w:p>
      <w:r>
        <w:t>После перерыва заявителем в материалы по жалобе представлены доказательства оплаты по выставленным требованиям (платежные поручения), (информация также направлена Пензенским УФАС России заказчику для ознакомления).</w:t>
      </w:r>
    </w:p>
    <w:p>
      <w:r>
        <w:t>При наличии сведений в ЕИС, отсутствии документов об исполнении требований о неустойках, у комиссии по осуществлению закупок правомерно возникли сомнения относительно учета данного контракта при оценке заявок.</w:t>
      </w:r>
    </w:p>
    <w:p>
      <w:r>
        <w:t>В отношении договоров, заключенных ООО «СК Триалети» с подразделениями ПАО «Сбербанк России», Комиссия Управления отмечает следующее.</w:t>
      </w:r>
    </w:p>
    <w:p>
      <w:r>
        <w:t>В составе заявки присутствуют как сами договоры, дополнительные соглашения (при наличии), так и документы об исполнении (акты), соответственно сверить суммы исполнения представляется возможным.</w:t>
      </w:r>
    </w:p>
    <w:p>
      <w:r>
        <w:t>В части отсутствия информации в реестре договоров в ЕИС, следует отметить следующее.</w:t>
      </w:r>
    </w:p>
    <w:p>
      <w:r>
        <w:t>Согласно части 2 статьи 4.1 Закона № 223-ФЗ в течение трех рабочих дней со дня заключения договора, в том числе договора, заключенного заказчиком по результатам закупки у единственного поставщика (исполнителя, подрядчика) товаров, работ, услуг, стоимость которых превышает размеры, установленные частью 15 статьи 4 настоящего Федерального закона, заказчики вносят информацию и документы, установленные Правительством Российской Федерации в соответствии с частью 1 настоящей статьи, в реестр договоров. Если в договор были внесены изменения, заказчики вносят в реестр договоров такие информацию и документы, в отношении которых были внесены изменения. Информация о результатах исполнения договора вносится заказчиками в реестр договоров в течение десяти дней со дня исполнения, изменения или расторжения договора.</w:t>
      </w:r>
    </w:p>
    <w:p>
      <w:r>
        <w:t>В силу части 3 статьи 4.1 Закона № 223-ФЗ в реестр договоров не вносятся информация и документы, которые в соответствии с настоящим Федеральным законом не подлежат размещению в единой информационной системе.</w:t>
      </w:r>
    </w:p>
    <w:p>
      <w:r>
        <w:t>В соответствии с частью 16 статьи 4 Закона № 223-ФЗ Правительство Российской Федерации вправе определить:</w:t>
      </w:r>
    </w:p>
    <w:p>
      <w:r>
        <w:t>1) конкретную закупку, информация о которой не подлежит размещению на официальном сайте;</w:t>
      </w:r>
    </w:p>
    <w:p>
      <w:r>
        <w:t>2) перечни и (или) группы товаров, работ, услуг, информация о закупке которых не подлежит размещению на официальном сайте;</w:t>
      </w:r>
    </w:p>
    <w:p>
      <w:r>
        <w:t>3) перечень оснований неразмещения на официальном сайте информации о поставщике (подрядчике, исполнителе), с которым заключен договор;</w:t>
      </w:r>
    </w:p>
    <w:p>
      <w:r>
        <w:t>4) перечни и (или) группы товаров, работ, услуг, закупки которых осуществляются конкретными заказчиками, информация о закупке которых не подлежит размещению на официальном сайте.</w:t>
      </w:r>
    </w:p>
    <w:p>
      <w:r>
        <w:t>Согласно пунктам 1, 2 постановления Правительства РФ от 06.03.2022 № 301 «Об основаниях неразмещения в единой информационной системе в сфере закупок товаров, работ, услуг для обеспечения государственных и муниципальных нужд сведений о закупках товаров, работ, услуг, информации о поставщиках (подрядчиках, исполнителях), с которыми заключены договоры»:</w:t>
      </w:r>
    </w:p>
    <w:p>
      <w:r>
        <w:t>1. Установить, что основаниями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закупке товаров, работ, услуг, информации о поставщике (подрядчике, исполнителе), с которым заключен договор по результатам закупки, являются введение политических или экономических санкций иностранными государствами, совершающими недружественные действия в отношении Российской Федерации, граждан Российской Федерации или российских юридических лиц, и (или) введение иностранными государствами, государственными объединениями и (или) союзами и (или) государственными (межгосударственными) учреждениями иностранных государств или государственных объединений и (или) союзов мер ограничительного характера в отношении заказчика, осуществляющего закупку, либо включение заказчика, осуществляющего закупку, в перечень хозяйственных обществ, в отношении которых применяется особый порядок совершения отдельных видов сделок (операций), утвержденный Указом Президента Российской Федерации от 29 марта 2024 г. № 221 «Об особом порядке совершения отдельных видов сделок (операций) с акциями (долями в уставных капиталах) некоторых хозяйственных обществ».</w:t>
      </w:r>
    </w:p>
    <w:p>
      <w:r>
        <w:t>2. Положения пункта 1 настоящего постановления применяются также в отношении заказчиков, являющихся кредитными организациями, если указанные в пункте 1 настоящего постановления санкции и меры ограничительного характера введены в отношении лиц, контролирующих кредитную организацию.</w:t>
      </w:r>
    </w:p>
    <w:p>
      <w:r>
        <w:t>В отношении ПАО «Сбербанк России» вводились санкции, таким образом информация о закупках и договорах может не размещаться на официальном сайте единой информационной системы, в том числе в реестре договоров.</w:t>
      </w:r>
    </w:p>
    <w:p>
      <w:r>
        <w:t>Учитывая отсутствие в преамбулах договоров ссылок на Закон № 223-ФЗ у комиссии по осуществлению закупки могли возникнуть сомнения относительно их заключения в рамках указанного Закона.</w:t>
      </w:r>
    </w:p>
    <w:p>
      <w:r>
        <w:t>Вместе с тем, при отсутствии доказательств недостоверности представленной участником закупки информации, не учитывать при оценке заявок представленные сведения, некорректно с точки зрения применения Порядка оценки.</w:t>
      </w:r>
    </w:p>
    <w:p>
      <w:r>
        <w:t>Кроме того, после перерыва подателем жалобы представлены в материалы два информационных письма от отделений ПАО Сбербанк о подтверждении исполнения договоров, представленных в составе заявки, в том числе номеров, сумм исполнения, информации об отсутствии непогашенных требований по неустойкам, а также с указанием на заключение договоров в рамках Закона № 223-ФЗ.</w:t>
      </w:r>
    </w:p>
    <w:p>
      <w:r>
        <w:t>Также в материалы представлены скриншоты сведений площадки из карточек по указанным в заявке договорам.</w:t>
      </w:r>
    </w:p>
    <w:p>
      <w:r>
        <w:t>Данная информация также направлена заказчику для ознакомления.</w:t>
      </w:r>
    </w:p>
    <w:p>
      <w:r>
        <w:t>В связи с изложенным Комиссия Управления приходит к выводу об обоснованности доводов жалобы и нарушении комиссией по осуществлению закупки подпункта «б» пункта 1 части 11 статьи 48 Закона о контрактной системе, а также установленного Порядка оценки при рассмотрении вторых частей заявок и в последующем при подведении итогов закупки, что содержит признаки административного правонарушения, ответственность за которое установлена частью 7 статьи 7.30.1 КоАП РФ.</w:t>
      </w:r>
    </w:p>
    <w:p>
      <w:r>
        <w:t>Также в рамках проводимой внеплановой проверки Комиссия полагает необходимым обратить внимание на следующее:</w:t>
      </w:r>
    </w:p>
    <w:p>
      <w:r>
        <w:t>В отношении заявки участника № 37:</w:t>
      </w:r>
    </w:p>
    <w:p>
      <w:r>
        <w:t>Как установлено Комиссией Управления в структурированной части заявки указано предложение по детализирующим показателям оценки критерия «квалификация участников»:</w:t>
      </w:r>
    </w:p>
    <w:p>
      <w:r>
        <w:t>Общая цена исполненных участником закупки договоров – 421 887 266,33,</w:t>
      </w:r>
    </w:p>
    <w:p>
      <w:r>
        <w:t>Общее количество исполненных участником закупки договоров – 20,</w:t>
      </w:r>
    </w:p>
    <w:p>
      <w:r>
        <w:t>Наибольшая цена одного из исполненных участником закупки договоров – 150 508 295,00.</w:t>
      </w:r>
    </w:p>
    <w:p>
      <w:r>
        <w:t>Как указано выше комиссия при оценке вторых частей заявок учла следующие данные:</w:t>
      </w:r>
    </w:p>
    <w:p>
      <w:r>
        <w:t>Общая цена исполненных участником закупки договоров – 399 253 593,90,</w:t>
      </w:r>
    </w:p>
    <w:p>
      <w:r>
        <w:t>Общее количество исполненных участником закупки договоров – 20,</w:t>
      </w:r>
    </w:p>
    <w:p>
      <w:r>
        <w:t>Наибольшая цена одного из исполненных участником закупки договоров – 150 508 295,00.</w:t>
      </w:r>
    </w:p>
    <w:p>
      <w:r>
        <w:t>В составе заявки участника представлены соответствующие сведения в рамках критерия оценки «квалификация участников». При этом по контракту с реестровым номером 3583500572022000009 участником указана сумма исполнения 14 813 284,27 руб, тогда как в реестре контрактов содержится информация об исполнении на сумму 14 810 284,27 руб.</w:t>
      </w:r>
    </w:p>
    <w:p>
      <w:r>
        <w:t>Также по контракту с реестровым номером 1583401177822000021 в реестре контрактов ЕИС содержатся сведения о начислении неустойки, однако информация о полном погашении отсутствует. Представителем заказчика в рамках заседания не приведено доказательств наличия информации о погашении.</w:t>
      </w:r>
    </w:p>
    <w:p>
      <w:r>
        <w:t>Кроме того, комиссией учтены сведения о контракте с реестровым номером 3583701087825000023 на замену ограждения территории МБДОУ детского сада № 109 г. Пензы, корпуса № 2 по адресу: г. Пенза, ул. Попова, 166 в рамках текущего ремонта на сумму 2 814 733,00 руб. Тогда как, данный контракт исходя из предмета (текущий ремонт) не подходит в рамках Порядка оценки.</w:t>
      </w:r>
    </w:p>
    <w:p>
      <w:r>
        <w:t>В отношении заявки участника № 63:</w:t>
      </w:r>
    </w:p>
    <w:p>
      <w:r>
        <w:t>Как установлено Комиссией Управления в структурированной части заявки указано предложение по детализирующим показателям оценки критерия «квалификация участников»:</w:t>
      </w:r>
    </w:p>
    <w:p>
      <w:r>
        <w:t>Общая цена исполненных участником закупки договоров – 274 696 721,45,</w:t>
      </w:r>
    </w:p>
    <w:p>
      <w:r>
        <w:t>Общее количество исполненных участником закупки договоров – 6,</w:t>
      </w:r>
    </w:p>
    <w:p>
      <w:r>
        <w:t>Наибольшая цена одного из исполненных участником закупки договоров – 249 024 698,52.</w:t>
      </w:r>
    </w:p>
    <w:p>
      <w:r>
        <w:t>Как указано выше комиссия при оценке вторых частей заявок учла следующие данные:</w:t>
      </w:r>
    </w:p>
    <w:p>
      <w:r>
        <w:t>Общая цена исполненных участником закупки договоров – 23 991 155,14,</w:t>
      </w:r>
    </w:p>
    <w:p>
      <w:r>
        <w:t>Общее количество исполненных участником закупки договоров – 5,</w:t>
      </w:r>
    </w:p>
    <w:p>
      <w:r>
        <w:t>Наибольшая цена одного из исполненных участником закупки договоров – 10 441 985,59.</w:t>
      </w:r>
    </w:p>
    <w:p>
      <w:r>
        <w:t>В составе заявки участника представлены соответствующие сведения в рамках критерия оценки «квалификация участников».</w:t>
      </w:r>
    </w:p>
    <w:p>
      <w:r>
        <w:t>При рассмотрении жалобы представитель заказчика пояснила, что комиссия учла при оценке сведения о 5 контрактах, заключенных в рамках Закона о контрактной системе, в отношении еще одного договора, заключенного в соответствии с Законом № 223-ФЗ, сведения о котором присутствуют в реестре договоров, комиссия ошибочно пришла к выводу, что сумма исполнения договора не подтверждена.</w:t>
      </w:r>
    </w:p>
    <w:p>
      <w:r>
        <w:t>Комиссия Управления отмечает противоречивость и непоследовательность в данном случае действий конкурсной комиссии, а именно сведения об одном и том же договоре на сумму исполнения 249 024 698,52 были представлены как для оценки по критерию, так и в качестве подтверждения соответствия дополнительному требованию, таким образом, учитывая, что комиссия заявку признала соответствующей, то в части подтверждения соответствия дополнительному требованию комиссия учитывает указанный договор, а в рамках оценки по критерию «квалификация участников» - игнорирует.</w:t>
      </w:r>
    </w:p>
    <w:p>
      <w:r>
        <w:t>Также Комиссия Управления отмечает, что по контракту с реестровым номером 3581300333523000003 сумма исполнения в соответствии с размещенным соглашением о расторжении 2 026 225,34 руб., а не 2 138 215,41 руб., как указано в заявке участника.</w:t>
      </w:r>
    </w:p>
    <w:p>
      <w:r>
        <w:t>Кроме того, по контракту с реестровым номером 3580600500322000001 в реестре контрактов ЕИС содержатся сведения о начислении неустойки, однако информация о погашении отсутствует. Представителем заказчика в рамках заседания не приведено доказательств наличия информации о погашении.</w:t>
      </w:r>
    </w:p>
    <w:p>
      <w:r>
        <w:t>В отношении заявки участника № 189:</w:t>
      </w:r>
    </w:p>
    <w:p>
      <w:r>
        <w:t>Как установлено Комиссией Управления в структурированной части заявки указано предложение по детализирующим показателям оценки критерия «квалификация участников»:</w:t>
      </w:r>
    </w:p>
    <w:p>
      <w:r>
        <w:t>Общая цена исполненных участником закупки договоров – 275 690 415,23,</w:t>
      </w:r>
    </w:p>
    <w:p>
      <w:r>
        <w:t>Общее количество исполненных участником закупки договоров – 20,</w:t>
      </w:r>
    </w:p>
    <w:p>
      <w:r>
        <w:t>Наибольшая цена одного из исполненных участником закупки договоров – 68 400 760,07.</w:t>
      </w:r>
    </w:p>
    <w:p>
      <w:r>
        <w:t>Как указано выше комиссия при оценке вторых частей заявок учла следующие данные:</w:t>
      </w:r>
    </w:p>
    <w:p>
      <w:r>
        <w:t>Общая цена исполненных участником закупки договоров – 73 700 711,81,</w:t>
      </w:r>
    </w:p>
    <w:p>
      <w:r>
        <w:t>Общее количество исполненных участником закупки договоров – 2,</w:t>
      </w:r>
    </w:p>
    <w:p>
      <w:r>
        <w:t>Наибольшая цена одного из исполненных участником закупки договоров – 68 400 760,07.</w:t>
      </w:r>
    </w:p>
    <w:p>
      <w:r>
        <w:t>В составе заявки участника представлены соответствующие сведения в рамках критерия оценки «квалификация участников».</w:t>
      </w:r>
    </w:p>
    <w:p>
      <w:r>
        <w:t>Комиссией Управления установлено, что часть договоров, присутствующих в составе заявки, не соотносится с Порядком оценки. Вместе с тем, при анализе заявки участника сведения по контрактам из реестра контрактов подтвердилась большее количество раз нежели в отношении 2 учтенных контрактов.</w:t>
      </w:r>
    </w:p>
    <w:p>
      <w:r>
        <w:t>Таким образом Комиссия Управления приходит к выводу о том, что комиссией по осуществлению закупки ненадлежащим образом применен Порядок оценки при рассмотрении вторых частей всех заявок участников закупки, а также при подведении итогов закупки, что является нарушением подпункта «б» пункта 1 части 11 статьи 48 Закона о контрактной системе и содержит признаки административного правонарушения, ответственность за которое установлена частью 7 статьи 7.30.1 КоАП РФ.</w:t>
      </w:r>
    </w:p>
    <w:p>
      <w:r>
        <w:t>В соответствии с пунктом 2 части 22 статьи 99 Закона о контрактной системе при выявлении в результате проведения контрольным органом в сфере закупок плановых и внеплановых проверок, а также в результате рассмотрения жалобы на действия (бездействие) субъектов контроля нарушений законодательства Российской Федерации и иных нормативных правовых актов о контрактной системе в сфере закупок контрольный орган в сфере закупок вправе выдавать обязательные для исполнения предписания об устранении таких нарушений в соответствии с законодательством Российской Федерации, в том числе об аннулировании определения поставщиков (подрядчиков, исполнителей).</w:t>
      </w:r>
    </w:p>
    <w:p>
      <w:r>
        <w:t>С учетом допущенных нарушений Закона о контрактной системе, Комиссия Управления приходит к выводу о необходимости выдать обязательное для исполнения предписание об устранении допущенного нарушения. При этом Комиссия дополнительно отмечает, что при исполнении предписания комиссия по осуществлению закупки не лишена права перепроверить всю необходимую информацию, в отношении которой возникают те или иные сомнения, в том числе о наличии или отсутствии непогашенных требований по выплате неустоек в отношении заявок всех участников закупки (например, запросив сведения у соответствующих заказчиков).</w:t>
      </w:r>
    </w:p>
    <w:p>
      <w:r>
        <w:t>При совокупности указанных выше обстоятельств оценив материалы дела, выслушав доводы и объяснения сторон, руководствуясь частью 15 статьи 99, статьей 106 Закона о контрактной системе Комиссия Управления</w:t>
      </w:r>
    </w:p>
    <w:p>
      <w:r>
        <w:t>РЕШИЛА:</w:t>
      </w:r>
    </w:p>
    <w:p>
      <w:r>
        <w:t>Признать жалобу ООО «СК Триалети» на действия комиссии при проведении уполномоченным учреждением ГКУ ПО «Управление по осуществлению закупок Пензенской области» для нужд заказчика ГБУЗ «Белинская районная больница» электронного конкурса «Капитальный ремонт лечебного корпуса (стационара) ГБУЗ «Белинская РБ», расположенного по адресу: Пензенская область, Белинский район, г. Белинский, ул. Туристическая, 2» (извещение № 0855200000526001379 от 10.04.2026 опубликовано на сайте www.zakupki.gov.ru) обоснованной.</w:t>
      </w:r>
    </w:p>
    <w:p>
      <w:r>
        <w:t>Признать комиссию по осуществлению закупки нарушившей требования подпункта «б» пункта 1 части 11 статьи 48 Закона о контрактной системе, что содержит признаки административного правонарушения, ответственность за которое установлена частью 7 статьи 7.30.1 КоАП РФ.</w:t>
      </w:r>
    </w:p>
    <w:p>
      <w:r>
        <w:t>Признать заказчика нарушившим требования подпункта «б» пункта 20 Положения, утвержденного Постановлением № 2604, что содержит признаки административного правонарушения, ответственность за которое предусмотрена частью 5 статьи 7.30.1 КоАП РФ.</w:t>
      </w:r>
    </w:p>
    <w:p>
      <w:r>
        <w:t>Выдать предписание об устранении выявленного нарушения.</w:t>
      </w:r>
    </w:p>
    <w:p>
      <w:r>
        <w:t>Материалы по жалобе должностному лицу Управления для рассмотрения вопроса о возбуждении дела об административном правонарушении не передавать.</w:t>
      </w:r>
    </w:p>
    <w:p>
      <w:r>
        <w:t>В соответствии с частью 9 статьи 106 Закона о контрактной системе решение, принятое по результатам рассмотрения жалобы по существу, может быть обжаловано в судебном порядке в течение трех месяцев с даты его принятия.</w:t>
      </w:r>
    </w:p>
    <w:p>
      <w:r>
        <w:t>27</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