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202600114959000629</w:t>
      </w:r>
    </w:p>
    <w:p>
      <w:r>
        <w:rPr>
          <w:b/>
        </w:rPr>
        <w:t xml:space="preserve">УФАС: </w:t>
      </w:r>
      <w:r>
        <w:t>УФАС по Санкт-Петербургу</w:t>
      </w:r>
    </w:p>
    <w:p>
      <w:r>
        <w:rPr>
          <w:b/>
        </w:rPr>
        <w:t xml:space="preserve">Дата решения: </w:t>
      </w:r>
      <w:r>
        <w:t>27.01.2026</w:t>
      </w:r>
    </w:p>
    <w:p>
      <w:r>
        <w:rPr>
          <w:b/>
        </w:rPr>
        <w:t xml:space="preserve">Исход: </w:t>
      </w:r>
      <w:r>
        <w:t>обоснована</w:t>
      </w:r>
    </w:p>
    <w:p>
      <w:r>
        <w:rPr>
          <w:b/>
        </w:rPr>
        <w:t xml:space="preserve">Закупка №: </w:t>
      </w:r>
      <w:r>
        <w:t>0172200003625000203</w:t>
      </w:r>
    </w:p>
    <w:p>
      <w:r>
        <w:rPr>
          <w:b/>
        </w:rPr>
        <w:t xml:space="preserve">Заказчик: </w:t>
      </w:r>
      <w:r>
        <w:t>Администрация Адмиралтейского района Санкт-Петербурга</w:t>
      </w:r>
    </w:p>
    <w:p>
      <w:r>
        <w:rPr>
          <w:b/>
        </w:rPr>
        <w:t xml:space="preserve">Заявитель: </w:t>
      </w:r>
      <w:r>
        <w:t>ООО «Стройинжиниринг»</w:t>
      </w:r>
    </w:p>
    <w:p>
      <w:r>
        <w:rPr>
          <w:b/>
        </w:rPr>
        <w:t xml:space="preserve">Первоисточник в ЕИС: </w:t>
      </w:r>
      <w:r>
        <w:t>https://zakupki.gov.ru/epz/complaint/card/complaint-information.html?complaintNumber=202600114959000629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АДМИРАЛТЕЙСКОГО РАЙОНА САНКТ-ПЕТЕРБУРГА</w:t>
              <w:br/>
              <w:t>190005, Санкт-Петербург Город, Измайловский Проспект, дом 10</w:t>
              <w:br/>
              <w:t>ООО "СТРОЙИНЖИНИРИНГ"</w:t>
              <w:br/>
              <w:t>194156, Г.САНКТ-ПЕТЕРБУРГ, УЛ. ОРБЕЛИ, Д. 8, ЛИТЕР Д, ПОМЕЩ. 3Н ОФИС 3</w:t>
            </w:r>
          </w:p>
        </w:tc>
      </w:tr>
    </w:tbl>
    <w:p>
      <w:r>
        <w:t>РЕШЕНИЕ</w:t>
      </w:r>
    </w:p>
    <w:p>
      <w:r>
        <w:t>по делу № 078/06/105-138/2026 о нарушении законодательства о контрактной системе</w:t>
      </w:r>
    </w:p>
    <w:p>
      <w:r>
        <w:t>28.01.2026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АДМИНИСТРАЦИЯ АДМИРАЛТЕЙСКОГО РАЙОНА САНКТ-ПЕТЕРБУРГА (далее – Уполномоченный орган):;</w:t>
      </w:r>
    </w:p>
    <w:p>
      <w:r>
        <w:t>ГБОУ школа № 522 Адмиралтейского района Санкт-Петербурга (далее – Заказчик):;</w:t>
      </w:r>
    </w:p>
    <w:p>
      <w:r>
        <w:t>ООО «СТРОЙИНЖИНИРИНГ» (далее – Заявитель):,</w:t>
      </w:r>
    </w:p>
    <w:p>
      <w:pPr>
        <w:pStyle w:val="Heading2"/>
      </w:pPr>
      <w:r>
        <w:t>описательная часть</w:t>
      </w:r>
    </w:p>
    <w:p>
      <w:r>
        <w:t>рассмотрев посредством системы видеоконференцсвязи жалобу Заявителя (вх. № 1140/26 от 22.01.2026) на действия АДМИНИСТРАЦИЯ АДМИРАЛТЕЙСКОГО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оказание услуг по комплексному обеспечению эксплуатации комплексных систем обеспечения безопасности (КСОБ) для государственных бюджетных образовательных учреждений, подведомственных администрации Адмиралтейского района Санкт-Петербурга, в период 01.02.2026-31.01.2027 (извещение № 0172200003625000203)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23.12.2025 в единой информационной системе, номер извещения 0172200003625000203. Максимальное значение цены контрактов: 21 347 110, 10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В рамках критерия оценки оценка осуществляется по показателю «Качество оказываемых услуг». Максимальное количество баллов по критерию оценки – 100.</w:t>
      </w:r>
    </w:p>
    <w:p>
      <w:r>
        <w:t>Оценка заявок по нестоимостному критерию осуществляется на основании сведений, предоставленных в технических предложениях участников закупки.</w:t>
      </w:r>
    </w:p>
    <w:p>
      <w:r>
        <w:t>Оценка по критерию производится по следующей шкале:</w:t>
      </w:r>
    </w:p>
    <w:p>
      <w:r>
        <w:t>Таблица 2</w:t>
      </w:r>
    </w:p>
    <w:tbl>
      <w:tblPr>
        <w:tblStyle w:val="TableGrid"/>
        <w:tblW w:type="auto" w:w="0"/>
        <w:tblLook w:firstColumn="1" w:firstRow="1" w:lastColumn="0" w:lastRow="0" w:noHBand="0" w:noVBand="1" w:val="04A0"/>
      </w:tblPr>
      <w:tblGrid>
        <w:gridCol w:w="4320"/>
        <w:gridCol w:w="4320"/>
      </w:tblGrid>
      <w:tr>
        <w:tc>
          <w:tcPr>
            <w:tcW w:type="dxa" w:w="4320"/>
          </w:tcPr>
          <w:p>
            <w:r>
              <w:t>Значение показателя</w:t>
            </w:r>
          </w:p>
        </w:tc>
        <w:tc>
          <w:tcPr>
            <w:tcW w:type="dxa" w:w="4320"/>
          </w:tcPr>
          <w:p>
            <w:r>
              <w:t>Шкала оценки (баллы)</w:t>
            </w:r>
          </w:p>
        </w:tc>
      </w:tr>
      <w:tr>
        <w:tc>
          <w:tcPr>
            <w:tcW w:type="dxa" w:w="4320"/>
          </w:tcPr>
          <w:p>
            <w:r>
              <w:t>Отсутствие предложения о качественных характеристиках объекта закупки в отношении оцениваемых характеристик по разделам технического предложения или предложение о качественных характеристиках объекта закупки не представлено в соответствии со всеми требованиями, установленными в настоящем пункте (в настоящем порядке оценки)</w:t>
            </w:r>
          </w:p>
        </w:tc>
        <w:tc>
          <w:tcPr>
            <w:tcW w:type="dxa" w:w="4320"/>
          </w:tcPr>
          <w:p>
            <w:r>
              <w:t>0</w:t>
            </w:r>
          </w:p>
        </w:tc>
      </w:tr>
      <w:tr>
        <w:tc>
          <w:tcPr>
            <w:tcW w:type="dxa" w:w="4320"/>
          </w:tcPr>
          <w:p>
            <w:r>
              <w:t>Наличие предложения о качественных характеристиках объекта закупки в отношении оцениваемых характеристик по разделам технического предложения, при этом предложение о качественных характеристиках объекта закупки представлено в соответствии со всеми требованиями, установленными в настоящем пункте (в настоящем порядке оценки)</w:t>
            </w:r>
          </w:p>
        </w:tc>
        <w:tc>
          <w:tcPr>
            <w:tcW w:type="dxa" w:w="4320"/>
          </w:tcPr>
          <w:p>
            <w:r>
              <w:t>100</w:t>
            </w:r>
          </w:p>
        </w:tc>
      </w:tr>
    </w:tbl>
    <w:p>
      <w:r>
        <w:t>В рамках показателя «Качество оказываемых услуг» оценивается наличие или отсутствие, а также соответствие описания участника конкурса на оказание услуг по комплексному обеспечению эксплуатации комплексных систем обеспечения безопасности (КСОБ) для государственных бюджетных образовательных учреждений, подведомственных администрации Адмиралтейского района Санкт-Петербурга, в период 01.02.2026-31.01.2027 (далее – оказываемые услуги), их количественных и качественных характеристик (предложения о качестве оказываемых услуг), требованиям, изложенным в конкурсной документации со всеми приложениями, являющимися неотъемлемой частью конкурсной документации, а именно наличие в заявке участника конкурса развернутого технического предложения об оказываемых услугах в отношении следующих разделов: архитектура резервного копирования, технология подтверждения технической готовности системы, организация и регламентация процессов оказания услуг.</w:t>
      </w:r>
    </w:p>
    <w:p>
      <w:r>
        <w:t>Оценка заявки участника конкурса по показателю «Качество оказываемых услуг» определяется согласно представленному участником конкурса техническому предложению о качественных характеристиках объекта закупки. Участник вправе воспользоваться рекомендуемой формой «Техническое предложение о качественных характеристиках объекта закупки». Предложение участника конкурса о качественных характеристиках объекта закупки разрабатывается участником конкурса в том числе на основании Технического задания.</w:t>
      </w:r>
    </w:p>
    <w:p>
      <w:r>
        <w:t>В случае, если услуги будут оказаны в соответствии со всеми требованиями, установленными в Техническом задании, и в соответствии с нормативными документами, участник закупки вправе указать в том числе в рекомендуемой форме: «Участник закупки предлагает оказание услуг, являющихся объектом закупки, в соответствии со всеми требованиями, указанными в конкурсной документации, и в соответствии с нормативными документами».</w:t>
      </w:r>
    </w:p>
    <w:tbl>
      <w:tblPr>
        <w:tblStyle w:val="TableGrid"/>
        <w:tblW w:type="auto" w:w="0"/>
        <w:tblLook w:firstColumn="1" w:firstRow="1" w:lastColumn="0" w:lastRow="0" w:noHBand="0" w:noVBand="1" w:val="04A0"/>
      </w:tblPr>
      <w:tblGrid>
        <w:gridCol w:w="2880"/>
        <w:gridCol w:w="2880"/>
        <w:gridCol w:w="2880"/>
      </w:tblGrid>
      <w:tr>
        <w:tc>
          <w:tcPr>
            <w:tcW w:type="dxa" w:w="2880"/>
          </w:tcPr>
          <w:p>
            <w:r>
              <w:t>Рекомендуемая форма «Техническое предложение о качественных характеристиках объекта закупки»</w:t>
              <w:br/>
              <w:t>Участник закупки предлагает оказать услуги, являющиеся объектом закупки, на следующих условиях.</w:t>
              <w:br/>
              <w:t>Графа 1</w:t>
            </w:r>
          </w:p>
        </w:tc>
        <w:tc>
          <w:tcPr>
            <w:tcW w:type="dxa" w:w="2880"/>
          </w:tcPr>
          <w:p>
            <w:r>
              <w:t>Графа 2</w:t>
            </w:r>
          </w:p>
        </w:tc>
        <w:tc>
          <w:tcPr>
            <w:tcW w:type="dxa" w:w="2880"/>
          </w:tcPr>
          <w:p>
            <w:r>
              <w:t>Графа 3</w:t>
            </w:r>
          </w:p>
        </w:tc>
      </w:tr>
    </w:tbl>
    <w:p>
      <w:r>
        <w:t>Порядок заполнения рекомендуемой формы «Техническое предложение о качественных характеристиках объекта закупки»: участник в графе 1 указывает номер раздела технического предложения об оказании услуг. В графе 2 формы указывается наименование раздела технического предложения об оказании услуг. В графе 3 участник предоставляет развернутое описание по соответствующему разделу, указанному в графе 2 или по каждому подразделу (при наличии) соответствующего раздела, указанного в графе 2 технического предложения о качественных характеристиках объекта закупки.</w:t>
      </w:r>
    </w:p>
    <w:p>
      <w:r>
        <w:t>В случае, если участником конкурса в «Техническом предложении о качественных характеристиках объекта закупки» указывается, что все услуги будут выполнены в соответствии со всеми требованиями, указанными в конкурсной документации, и в соответствии с нормативными документами и участником конкурса не предлагается описание оказания услуги по соответствующим разделам технического предложения, и/или участником конкурса в «Техническом предложении о качественных характеристиках объекта закупки» указывается, что описание оказания услуги по соответствующим разделам технического предложения будет соответствовать требованиям, указанными в Техническом задании и/или нормативным документам без раскрывающего вышеуказанные требования описания, то соответствующее описание признается не представленным участником конкурса.</w:t>
      </w:r>
    </w:p>
    <w:p>
      <w:r>
        <w:t>Непредставление предложения участника конкурса о качественных характеристиках объекта закупки с описанием оказываемых услуг в отношении оцениваемых характеристик по установленным разделам трактуется как «Отсутствие предложений о качественных характеристиках объекта закупки».</w:t>
      </w:r>
    </w:p>
    <w:p>
      <w:r>
        <w:t>Участнику закупки необходимо предоставить описание раздела «Архитектура резервного копирования», разработанного в организации и соответствующего приложениям извещения о осуществлении закупки, а также в соответствии со всеми требованиями настоящего порядка оценки. Раздел «Архитектура резервного копирования» должен содержать описание следующих подразделов: источники данных резервного копирования, которые формируются в процессе эксплуатации системы видеонаблюдения в рамках исполнения государственного контракта (далее – контракт), на право заключения которого проводится настоящий конкурс; схемы организации резервного копирования, обеспечивающие сохранность архивных данных, включая локальные и сетевые хранилища, съёмные носители и иные элементы резервной среды, применяемые в процессе эксплуатации; режимы выполнения резервного копирования, в том числе планируемая периодичность создания копий и способы автоматического и ручного запуска операций по сохранению конфигурационных и архивных данных; требования к изоляции и защите резервных копий от несанкционированного доступа, в том числе описание механизмов разграничения прав, физической защиты оборудования и логической изоляции среды хранения; порядок восстановления информации с резервных копий, с описанием типовых сценариев восстановления и указанием сроков восстановления при наличии актуальных резервных копий и при восстановлении после повреждения конфигурации (в случае полного, частичного отказа оборудования, повреждения, утери данных), в том числе необходимо указать процедуры сокращения времени восстановления (RTO); система контроля выполнения резервного копирования и тестирования целостности копий, включая описание методов автоматического и ручного мониторинга, ведения журналов операций резервирования, а также сроков хранения логов и контрольных записей; описание требований к надёжности и отказоустойчивости архитектуры резервного копирования, а также соответствию технических решений требованиям эксплуатационной и технической документации, на основании которой осуществляется оказание услуг. Участнику закупки необходимо предоставить описание раздела «Технология подтверждения технической готовности системы», разработанного в организации и соответствующего приложениям извещения о проведении закупки, а также в соответствии со всеми требованиями настоящего порядка оценки. Раздел «Технология подтверждения технической готовности системы» должен содержать описание следующих подразделов: последовательность технических процедур, выполняемых в рамках оказания услуг по техническому обслуживанию для проверки работоспособности оборудования и подтверждения его готовности к дальнейшей штатной эксплуатации, включая пошаговую проверку логики работы всех компонентов системы контроля и управления доступом при взаимодействии в составе единого комплекса; необходимо указать порядок настройки рабочих сценариев, тестирования реакции системы на события различных типов (корректный проход, несанкционированный доступ, обрыв связи, отключение питания); проверку алгоритмов блокировки и автоматического восстановления связи между контроллерами, модулями управления и исполнительными устройствами после проведения регламентных мероприятий; следует описать перечень используемых при проверках технических средств и программных инструментов, применяемых для выполнения функциональных тестов, а также порядок фиксации отклонений от установленных параметров и действий, предпринимаемых для их устранения; необходимо указать, какие параметры и режимы подлежат обязательной проверке при подтверждении технической готовности системы, включая устойчивость связи, стабильность питания, реакцию на тревожные события, скорость обработки сигнала, корректность маршрутизации команд и отклика оборудования; в том числе должны быть описаны инженерные критерии оценки результатов тестирования и условия признания оборудования функционирующим корректно и соответствующим требованиям эксплуатационной документации; требуется также указать, каким образом проводится техническая фиксация результата в виде программных логов, контрольных протоколов, выходных данных с анализом характеристик и других инженерных свидетельств, обеспечивающих доказательность выполнения регламентных процедур; необходимо описать внутреннюю процедуру завершающего контроля на стороне подрядчика, включая действия по проверке актуальности настроек, восстановлению штатных параметров, проверке синхронизации системных часов, откликов интерфейсов и общего системного статуса перед завершением оказания услуг и последующей передачей результатов технического обслуживания заказчику. Участнику закупки необходимо предоставить описание раздела «Организация и регламентация процессов оказания услуг», разработанного в организации и соответствующего приложениям извещения об осуществлении закупки, а также всем требованиям настоящего порядка оценки. Раздел «Организация и регламентация процессов оказания услуг» должен содержать описание следующих подразделов: порядок организации услуг на объекте с перечислением ключевых этапов, в том числе описание действий, осуществляемых подрядчиком до начала оказания услуг, на всех стадиях рабочего процесса и по завершении оказания услуг в рамках исполнения государственного контракта (далее – контракт), на право заключения которого проводится настоящий конкурс; необходимо отразить систему документооборота, применяемую при исполнении контракта, включая виды исполнительной документации, которая будет применяться при оказании услуг, а также методы фиксации хода работ на объекте (журналы, акты, фотоматериалы), в том числе необходимо описать систему контроля качества, применяемую на всех этапах, включая взаимодействие с уполномоченными представителями заказчика, ответственными за приемку и контроль выполняемых услуг; необходимо описать перечень мероприятий, направленных на соблюдение требований охраны труда, техники безопасности, пожарной и электробезопасности, санитарных и экологических норм, с учетом действующего законодательства и внутреннего регламента заказчика; необходимо указать механизм организации допуска персонала к объекту, в том числе порядок согласования состава бригады, перечень документов, предоставляемых перед началом оказания услуг, а также порядок оформления приказов, назначений и ответственных лиц, с обязательным указанием структуры ответственности; участник закупки обязан описать процесс взаимодействия с представителями заказчика и иными уполномоченными структурами, включая порядок согласования действий, связанных с проведением регламентных процедур, изменением состава рабочей группы, корректировкой графика выполнения услуг, временным ограничением доступа в отдельные помещения объекта, а также порядок выполнения иных согласуемых действий, необходимых для обеспечения непрерывности производственного процесса; также необходимо изложить порядок поддержания надлежащего состояния обслуживаемых зон объекта, включая требования к соблюдению чистоты на рабочих местах, аккуратному размещению временно используемого оборудования, инвентаря и средств контроля, с обеспечением полного восстановления установленного порядка до момента окончательной приемки оказанных услуг; требуется указать перечень мер, направленных на недопущение повреждения существующих конструкций объекта и его инженерной инфраструктуры, а также порядок фиксации и сроков устранения возможных нарушений в процессе оказания услуг, с описанием механизмов уведомления заказчика и устранения замечаний в установленный срок.</w:t>
      </w:r>
    </w:p>
    <w:p>
      <w:r>
        <w:t>Описание требуемых подразделов должно содержать все характеристики, предусмотренные в требуемых подразделах. Для исключения двоякого толкования, такое описание следует предоставить в изъявительном наклонении, без использования в любом роде, числе и падеже, а также с частицей “не” следующих слов и словосочетаний: “должен”, “должен быть”, “обязан”, “запрещается” (данное слово участникам следует заменить на другое, исключающее двоякое толкование представленной информации – например: “отсутствует”), “необходимо”, “не допускается” (данное словосочетание участникам следует заменить на другое слово/словосочетание, исключающее двоякое толкование представленной информации – например: “отсутствует”).</w:t>
      </w:r>
    </w:p>
    <w:p>
      <w:r>
        <w:t>Оцениваемое описание оказываемых услуг в отношении каждого раздела и соответствующего ему подраздела, содержащего оцениваемую у участников информацию (характеристики), предлагаемое участником конкурса в составе заявки, должно содержать наименование каждого раздела и соответствующего ему подраздела (при наличии), в том числе соответствующее описание по наименованию раздела и подраздела (при наличии) и не должно противоречить извещению со всеми приложениями, являющимися неотъемлемой частью извещения, а должно быть представлено на основании оцениваемой информации (характеристик) в части их взаимодополняемости и невозможности противоречия друг другу.</w:t>
      </w:r>
    </w:p>
    <w:p>
      <w:r>
        <w:t>Описание оказываемых услуг признается представленным в полном объеме в случае, если предложение Участника содержит описание всех разделов (подразделов) Технического предложения о оцениваемых характеристиках в полном объеме и не противоречит требованиям конкурсной документации.</w:t>
      </w:r>
    </w:p>
    <w:p>
      <w:r>
        <w:t>Описание оказываемых услуг признается представленным не в полном объеме, если предложение Участника содержит описание не всех разделов (подразделов) Технического предложения о оцениваемых характеристиках в полном объеме и/или противоречит требованиям конкурсной документации.</w:t>
      </w:r>
    </w:p>
    <w:p>
      <w:r>
        <w:t>При формировании «Технического предложения о качественных характеристиках объекта закупки» участник закупки должен не повторить требования конкурсной документации со всеми приложениями, являющимися неотъемлемой частью конкурсной документации, и/или положения нормативной документации, а раскрыть данные требования/положения с учетом имеющихся у участника закупки конкурентных качеств.</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20.01.2026 №ПРОI1 заявке участника № 120377687 присвоено 0 баллов по следующим основаниям:</w:t>
      </w:r>
    </w:p>
    <w:p>
      <w:r>
        <w:t>Примечание: участнику закупки по показателю оценки «Качественные характеристики объекта закупки» начислено 0 баллов, учитывая следующие основания:</w:t>
      </w:r>
    </w:p>
    <w:p>
      <w:r>
        <w:t>Основания в соответствии с показателем оценки «Качественные характеристики объекта закупки»:</w:t>
      </w:r>
    </w:p>
    <w:p>
      <w:r>
        <w:t>«Предложение о качественных характеристиках объекта закупки не представлено в соответствии со всеми требованиями, установленными в настоящем пункте (в настоящем порядке оценки)».</w:t>
      </w:r>
    </w:p>
    <w:p>
      <w:r>
        <w:t>При описании раздела «Технология подтверждения технической готовности системы», участник не предоставил критерии оценки результатов тестирования и условия признания оборудования функционирующим корректно и соответствующим требованиям эксплуатационной документации.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все требуемые сведения и информация по показателю «Качественные характеристики объекта закупки», содержащие описание свойств объекта закупки, в частности на странице 32 описания участником представлена информация:</w:t>
      </w:r>
    </w:p>
    <w:p>
      <w:r>
        <w:t>Инженерные критерии оценки результатов тестирования устанавливаются подрядчиком в соответствии с эксплуатационной документацией производителя, требованиями заказчика и отраслевыми нормативами. Они представляют собой совокупность технических параметров, функциональных характеристик и показателей устойчивости, по которым определяется, соответствует ли оборудование системы контроля и управления доступом (СКУД) требованиям штатной эксплуатации после проведения регламентных процедур.</w:t>
      </w:r>
    </w:p>
    <w:p>
      <w:r>
        <w:t>Кроме того, Заказчиком не представлено в материалы дела доказательств того, что предложение участника не соответствует установленному в извещении порядку оценки.</w:t>
      </w:r>
    </w:p>
    <w:p>
      <w:r>
        <w:t>Следовательно, вопреки выводам Заказчика, изложенным в протоколе рассмотрения и оценки первых частей заявок, участником представлено описание свойств объекта закупки, в соответствии с установленным порядком оценки.</w:t>
      </w:r>
    </w:p>
    <w:p>
      <w:r>
        <w:t>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а у комиссии Заказчика отсутствовали основания для не начисления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«СТРОЙИНЖИНИРИНГ»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11</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АДМИРАЛТЕЙСКОГО РАЙОНА САНКТ-ПЕТЕРБУРГА</w:t>
              <w:br/>
              <w:t>190005, Санкт-Петербург Город, Измайловский Проспект, дом 10</w:t>
              <w:br/>
              <w:t>ООО "СТРОЙИНЖИНИРИНГ"</w:t>
              <w:br/>
              <w:t>194156, Г.САНКТ-ПЕТЕРБУРГ, УЛ. ОРБЕЛИ, Д. 8, ЛИТЕР Д, ПОМЕЩ. 3Н ОФИС 3</w:t>
            </w:r>
          </w:p>
        </w:tc>
      </w:tr>
    </w:tbl>
    <w:p>
      <w:r>
        <w:t>ПРЕДПИСАНИЕ</w:t>
      </w:r>
    </w:p>
    <w:p>
      <w:r>
        <w:t>по делу № 078/06/105-138/2026 об устранении нарушений законодательства о закупках</w:t>
      </w:r>
    </w:p>
    <w:p>
      <w:r>
        <w:t>28.01.2026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078/06/105-138/2026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 АДМИНИСТРАЦИЯ АДМИРАЛТЕЙСКОГО РАЙОНА САНКТ-ПЕТЕРБУРГА, Заказчику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0172200003625000203;</w:t>
      </w:r>
    </w:p>
    <w:p>
      <w:r>
        <w:t>- повторно рассмотреть первые части заявок, поданные на участие в конкурсе № 0172200003625000203,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0172200003625000203) в соответствии с законодательством о контрактной системе.</w:t>
      </w:r>
    </w:p>
    <w:p>
      <w:r>
        <w:t>2. Заказчику и комиссии Уполномоченного органа по осуществлению закупок в срок до 25.02.2026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