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202600114959001322</w:t>
      </w:r>
    </w:p>
    <w:p>
      <w:r>
        <w:rPr>
          <w:b/>
        </w:rPr>
        <w:t xml:space="preserve">УФАС: </w:t>
      </w:r>
      <w:r>
        <w:t>УФАС по Санкт-Петербургу</w:t>
      </w:r>
    </w:p>
    <w:p>
      <w:r>
        <w:rPr>
          <w:b/>
        </w:rPr>
        <w:t xml:space="preserve">Дата решения: </w:t>
      </w:r>
      <w:r>
        <w:t>17.02.2026</w:t>
      </w:r>
    </w:p>
    <w:p>
      <w:r>
        <w:rPr>
          <w:b/>
        </w:rPr>
        <w:t xml:space="preserve">Исход: </w:t>
      </w:r>
      <w:r>
        <w:t>обоснована</w:t>
      </w:r>
    </w:p>
    <w:p>
      <w:r>
        <w:rPr>
          <w:b/>
        </w:rPr>
        <w:t xml:space="preserve">Закупка №: </w:t>
      </w:r>
      <w:r>
        <w:t>0372200241026000001</w:t>
      </w:r>
    </w:p>
    <w:p>
      <w:r>
        <w:rPr>
          <w:b/>
        </w:rPr>
        <w:t xml:space="preserve">Заказчик: </w:t>
      </w:r>
      <w:r>
        <w:t>Государственное бюджетное дошкольное образовательное учреждение детский САД № 11 общеразвивающего вида Василеостровского района Санкт-Петербурга</w:t>
      </w:r>
    </w:p>
    <w:p>
      <w:r>
        <w:rPr>
          <w:b/>
        </w:rPr>
        <w:t xml:space="preserve">Заявитель: </w:t>
      </w:r>
      <w:r>
        <w:t>ООО «Просервис»</w:t>
      </w:r>
    </w:p>
    <w:p>
      <w:r>
        <w:rPr>
          <w:b/>
        </w:rPr>
        <w:t xml:space="preserve">Первоисточник в ЕИС: </w:t>
      </w:r>
      <w:r>
        <w:t>https://zakupki.gov.ru/epz/complaint/card/complaint-information.html?complaintNumber=202600114959001322</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ГОСУДАРСТВЕННОЕ БЮДЖЕТНОЕ ДОШКОЛЬНОЕ ОБРАЗОВАТЕЛЬНОЕ УЧРЕЖДЕНИЕ ДЕТСКИЙ САД № 11 ОБЩЕРАЗВИВАЮЩЕГО ВИДА ВАСИЛЕОСТРОВСКОГО РАЙОНА САНКТ-ПЕТЕРБУРГА</w:t>
              <w:br/>
              <w:t>Российская Федерация, 199178, Санкт-Петербург, 12-я В.О. линия, Д. 21 ЛИТЕР А</w:t>
              <w:br/>
              <w:t>ООО "ПРОСЕРВИС"</w:t>
              <w:br/>
              <w:t>420097, РЕСПУБЛИКА ТАТАРСТАН (ТАТАРСТАН), Г. КАЗАНЬ, УЛ. ПОПЕРЕЧНО-ЦЕНТРАЛЬНАЯ, Д. 6, КВ. 11</w:t>
            </w:r>
          </w:p>
        </w:tc>
      </w:tr>
    </w:tbl>
    <w:p>
      <w:r>
        <w:t>РЕШЕНИЕ</w:t>
      </w:r>
    </w:p>
    <w:p>
      <w:r>
        <w:t>по делу № 078/06/105-365/2026</w:t>
      </w:r>
    </w:p>
    <w:p>
      <w:r>
        <w:t>о нарушении законодательства о контрактной системе</w:t>
      </w:r>
    </w:p>
    <w:p>
      <w:r>
        <w:t>17.02.2026 Санкт-Петербург</w:t>
      </w:r>
    </w:p>
    <w:p>
      <w:r>
        <w:t>Комиссия Санкт-Петербургского УФАС России по контролю в сфере закупок (далее – Комиссия УФАС) в составе:</w:t>
      </w:r>
    </w:p>
    <w:p>
      <w:r>
        <w:t>в отсутствие представителей:</w:t>
      </w:r>
    </w:p>
    <w:p>
      <w:r>
        <w:t>ГОСУДАРСТВЕННОЕ БЮДЖЕТНОЕ ДОШКОЛЬНОЕ ОБРАЗОВАТЕЛЬНОЕ УЧРЕЖДЕНИЕ ДЕТСКИЙ САД № 11 ОБЩЕРАЗВИВАЮЩЕГО ВИДА ВАСИЛЕОСТРОВСКОГО РАЙОНА САНКТ-ПЕТЕРБУРГА (далее – Заказчик);</w:t>
      </w:r>
    </w:p>
    <w:p>
      <w:r>
        <w:t>ООО «ПРОСЕРВИС» (далее – Заявитель) уведомленных о заседании Комиссии УФАС,</w:t>
      </w:r>
    </w:p>
    <w:p>
      <w:pPr>
        <w:pStyle w:val="Heading2"/>
      </w:pPr>
      <w:r>
        <w:t>описательная часть</w:t>
      </w:r>
    </w:p>
    <w:p>
      <w:r>
        <w:t>рассмотрев посредством системы видеоконференцсвязи жалобу Заявителя (вх. № 2941/26 от 12.02.2026) на действия ГБДОУ ДЕТСКИЙ САД № 11 ВАСИЛЕОСТРОВСКОГО РАЙОНА, (далее – Заказчик), при определении (подрядчика, исполнителя) путем проведения закупки на поставку картриджей (извещение № 0372200241026000001) (далее – аукцион),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аукциона размещено 10.02.2026 на Официальном сайте Единой информационной системы в сфере закупок www.zakupki.gov.ru, номер извещения 0372200241026000001. Начальная (максимальная) цена контракта – 362 500, 00 рублей.</w:t>
      </w:r>
    </w:p>
    <w:p>
      <w:r>
        <w:t>Заявитель в жалобе ссылается на то, что Заказчиком якобы неправомерно установлено требование о поставке исключительно оригинальных картриджей, что, по мнению Заявителя, противоречит требованиям Закона о контрактной системе, а также нарушает Постановление Правительства Российской Федерации от 23 декабря 2024 года №1875, устанавливающее меры по предоставлению национального режима при закупках. Заявитель утверждает, что такое ограничение создает необоснованное препятствие для участия в закупке российских производителей эквивалентных картриджей и нарушает принцип обеспечения конкуренции.</w:t>
      </w:r>
    </w:p>
    <w:p>
      <w:r>
        <w:t>Заказчик, возражая против доводов жалобы, пояснил, что установленное требование обусловлено объективной необходимостью обеспечения надлежащего качества поставляемого товара, совместимого с имеющимся у Заказчика копировальным оборудованием, которое находится на гарантии.</w:t>
      </w:r>
    </w:p>
    <w:p>
      <w:r>
        <w:t>1. В силу п. 5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наименование объекта закупки, информация (при наличии), предусмотренная правилами использования каталога товаров, работ, услуг для обеспечения государственных и муниципальных нужд, установленными в соответствии с ч. 6 ст. 23 Закона о контрактной системе, указание (в случае осуществления закупки лекарственных средств) на международные непатентованные наименования лекарственных средств или при отсутствии таких наименований химические, группировочные наименования.</w:t>
      </w:r>
    </w:p>
    <w:p>
      <w:r>
        <w:t>В силу ч. 5 ст. 23 Закона о контрактной системе формирование и ведение в единой информационной системе каталога товаров, работ, услуг для обеспечения государственных и муниципальных нужд обеспечиваются федеральным органом исполнительной власти по регулированию контрактной системы в сфере закупок.</w:t>
      </w:r>
    </w:p>
    <w:p>
      <w:r>
        <w:t>Частью 6 ст. 23 Закона о контрактной системе установлено, что порядок формирования и ведения в единой информационной системе каталога товаров, работ, услуг для обеспечения государственных и муниципальных нужд, а также правила использования указанного каталога устанавливаются Правительством Российской Федерации.</w:t>
      </w:r>
    </w:p>
    <w:p>
      <w:r>
        <w:t>Согласно постановлению Правительства РФ от 08.02.2017 N 145 «Об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использования каталога товаров, работ, услуг для обеспечения государственных и муниципальных нужд» (далее – Постановление Правительства № 145) утверждены Правила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(далее – Правила формирования каталога), Правила использования каталога товаров, работ, услуг для обеспечения государственных и муниципальных нужд (далее – Правила использования каталога).</w:t>
      </w:r>
    </w:p>
    <w:p>
      <w:r>
        <w:t>Согласно п. 1 Правил формирования каталога, они определяют порядок формирования и ведения каталога товаров, работ, услуг для обеспечения государственных и муниципальных нужд, в том числе состав включаемой в него информации.</w:t>
      </w:r>
    </w:p>
    <w:p>
      <w:r>
        <w:t>Согласно п. 10 Правил формирования каталога, в позицию каталога включается следующая информация:</w:t>
      </w:r>
    </w:p>
    <w:p>
      <w:r>
        <w:t>а) код позиции каталога, формируемый в соответствии с пунктом 12 настоящих Правил;</w:t>
      </w:r>
    </w:p>
    <w:p>
      <w:r>
        <w:t>б) наименование товара, работы, услуги (для целей настоящих Правил под наименованием товара, работы, услуги понимается включаемое в позицию каталога наименование соответствующего товара, работы, услуги, которое не является торговым наименованием, не содержит указание на конкретного производителя и (или) место происхождения товара);</w:t>
      </w:r>
    </w:p>
    <w:p>
      <w:r>
        <w:t>в) единицы измерения количества товара, объема выполняемой работы, оказываемой услуги согласно Общероссийскому классификатору единиц измерения ОК 015-94 (ОКЕИ) (при наличии);</w:t>
      </w:r>
    </w:p>
    <w:p>
      <w:r>
        <w:t>г) информация, содержащая описание товара, работы, услуги, если такое описание сформировано в соответствии с пунктом 13 настоящих Правил;</w:t>
      </w:r>
    </w:p>
    <w:p>
      <w:r>
        <w:t>д) справочная информация: коды, соответствующие товару, работе, услуге согласно российским и международным системам классификации, каталогизации (при наличии); информация о типовых контрактах, типовых условиях контрактов, подлежащих применению при закупке товара, работы, услуги (при наличии);</w:t>
      </w:r>
    </w:p>
    <w:p>
      <w:r>
        <w:t>е) дата включения в каталог позиции;</w:t>
      </w:r>
    </w:p>
    <w:p>
      <w:r>
        <w:t>ж) дата (даты) начала обязательного применения информации, включенной в позицию каталога;</w:t>
      </w:r>
    </w:p>
    <w:p>
      <w:r>
        <w:t>з) дата окончания применения позиции каталога (при необходимости);</w:t>
      </w:r>
    </w:p>
    <w:p>
      <w:r>
        <w:t>и) дополнительная информация в соответствии с пунктом 19 настоящих Правил.</w:t>
      </w:r>
    </w:p>
    <w:p>
      <w:r>
        <w:t>Согласно п. 2 Правил использования каталога, каталог используется заказчиками в целях:</w:t>
      </w:r>
    </w:p>
    <w:p>
      <w:r>
        <w:t>а) обеспечения применения информации о товарах, работах, услугах, в том числе в:</w:t>
      </w:r>
    </w:p>
    <w:p>
      <w:r>
        <w:t>извещении об осуществлении закупки;</w:t>
      </w:r>
    </w:p>
    <w:p>
      <w:r>
        <w:t>приглашении принять участие в определении поставщика (подрядчика, исполнителя) (далее - приглашение);</w:t>
      </w:r>
    </w:p>
    <w:p>
      <w:r>
        <w:t>документации о закупке (в случае если Федеральным законом предусмотрена документация о закупке);</w:t>
      </w:r>
    </w:p>
    <w:p>
      <w:r>
        <w:t>контракте;</w:t>
      </w:r>
    </w:p>
    <w:p>
      <w:r>
        <w:t>реестре контрактов, заключенных заказчиками;</w:t>
      </w:r>
    </w:p>
    <w:p>
      <w:r>
        <w:t>б) описания объектов закупки, которое включается в извещение об осуществлении закупки, приглашение и документацию о закупке (в случае если Федеральным законом предусмотрена документация о закупке).</w:t>
      </w:r>
    </w:p>
    <w:p>
      <w:r>
        <w:t>Согласно п. 4 Правил использования каталога, Заказчики обязаны применять информацию, включенную в позицию каталога в соответствии с подпунктами "б" - "г" и "е" - "з" пункта 10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утвержденных постановлением Правительства Российской Федерации от 8 февраля 2017 г. N 145 "Об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использования каталога товаров, работ, услуг для обеспечения государственных и муниципальных нужд", с указанной в ней даты начала обязательного применения. При этом заказчик обязан при осуществлении закупки использовать информацию, включенную в соответствующую позицию, в том числе указывать согласно такой позиции следующую информацию:</w:t>
      </w:r>
    </w:p>
    <w:p>
      <w:r>
        <w:t>а) наименование товара, работы, услуги;</w:t>
      </w:r>
    </w:p>
    <w:p>
      <w:r>
        <w:t>б) единицы измерения количества товара, объема выполняемой работы, оказываемой услуги (при наличии);</w:t>
      </w:r>
    </w:p>
    <w:p>
      <w:r>
        <w:t>в) описание товара, работы, услуги (при наличии такого описания в позиции).</w:t>
      </w:r>
    </w:p>
    <w:p>
      <w:r>
        <w:t>Исходя из совокупности вышеизложенных положений, при формировании объекта закупки на поставку товара по позициям, предусмотренных каталогом товаров, работ, услуг, Заказчик обязан применять информацию, включенную в позицию каталога, а также обосновать использование иных, не предусмотренных позицией каталога, характеристик.</w:t>
      </w:r>
    </w:p>
    <w:p>
      <w:r>
        <w:t>В силу п.5. Правил использования каталога, Заказчик вправе указать в извещении об осуществлении закупки, приглашении и документации о закупке (в случае если Федеральным законом предусмотрена документация о закупке) дополнительную информацию, а также дополнительные потребительские свойства, в том числе функциональные, технические, качественные, эксплуатационные характеристики товара, работы, услуги в соответствии с положениями статьи 33 Федерального закона, которые не предусмотрены в позиции каталога, за исключением случаев:</w:t>
      </w:r>
    </w:p>
    <w:p>
      <w:r>
        <w:t>а) если при осуществлении закупки товара (в том числе поставляемого при выполнении закупаемых работ, оказании закупаемых услуг), указанного в позициях 25, 26 и 32 приложения N 1 к постановлению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позициях 191 - 361 приложения N 2 к указанному постановлению, применяются предусмотренные пунктом 1 указанного постановления запрет, ограничение соответственно;</w:t>
      </w:r>
    </w:p>
    <w:p>
      <w:r>
        <w:t>б) если иное не предусмотрено особенностями описания отдельных видов объектов закупок, устанавливаемыми Правительством Российской Федерации в соответствии с частью 5 статьи 33 Федерального закона.</w:t>
      </w:r>
    </w:p>
    <w:p>
      <w:r>
        <w:t>В силу п. 6 Правил в случае предоставления дополнительной информации, предусмотренной пунктом 5 настоящих Правил, заказчик обязан включить в описание товара, работы, услуги обоснование необходимости использования такой информации (при наличии описания товара, работы, услуги в позиции каталога).</w:t>
      </w:r>
    </w:p>
    <w:p>
      <w:r>
        <w:t>В соответствии с п. 7 Правил в случае осуществления закупки товара, работы, услуги, в отношении которых в каталоге отсутствуют соответствующие позиции, заказчик осуществляет описание товара, работы, услуги в соответствии с требованиями статьи 33 Федерального закона. При проведении предусмотренных Федеральным законом электронных процедур, закрытых электронных процедур характеристики объекта закупки, предусмотренные пунктом 1 части 1 статьи 33 Федерального закона, указываются с использованием единой информационной системы при формировании извещения об осуществлении закупки, приглашения принять участие в определении поставщика (подрядчика, исполнителя) в соответствии с частью 1 статьи 42, пунктом 1 части 1 статьи 75 Федерального закона соответственно.</w:t>
      </w:r>
    </w:p>
    <w:p>
      <w:r>
        <w:t>При этом извещение об осуществлении закупки должно также содержать составленное в соответствии со ст. 33 Закона о закупках описание объекта закупки, которое прилагается к такому извещению в форме электронного документа или образа бумажного документа, сформированных без использования ЕИС (п. 1 ч. 2 ст. 42 Закона о закупках, пункт 2 формы, являющейся приложением к Положению о порядке формирования и размещения информации и документов в единой информационной системе в сфере закупок, о требованиях к их формам, утвержденному постановлением Правительства Российской Федерации от 27 января 2022 г. N 60) (далее - Положение).</w:t>
      </w:r>
    </w:p>
    <w:p>
      <w:r>
        <w:t>Следует отметить, что Положение устанавливает разные способы размещения в ЕИС информации и документов, формируемых с использованием ЕИС и сформированных без ее использования, в частности:</w:t>
      </w:r>
    </w:p>
    <w:p>
      <w:r>
        <w:t>- формирование информации и документов с использованием ЕИС осуществляется путем заполнения экранных форм веб-интерфейса ЕИС или путем представления в ЕИС электронного документа, содержащего сформированную информацию, посредством информационного взаимодействия (пункт 3 Положения);</w:t>
      </w:r>
    </w:p>
    <w:p>
      <w:r>
        <w:t>- документы, сформированные без использования ЕИС, размещаются в ЕИС в форме электронного документа или образа бумажного документа (пункт 4 Положения).</w:t>
      </w:r>
    </w:p>
    <w:p>
      <w:pPr>
        <w:pStyle w:val="Heading2"/>
      </w:pPr>
      <w:r>
        <w:t>мотивировочная часть</w:t>
      </w:r>
    </w:p>
    <w:p>
      <w:r>
        <w:t>На основании изложенного при осуществлении закупки товара, работы, услуги, в отношении которых в каталоге отсутствуют позиции, извещение об осуществлении которой размещено в ЕИС с 1 октября 2023 г.:</w:t>
      </w:r>
    </w:p>
    <w:p>
      <w:r>
        <w:t>- описание объекта закупки в части характеристик, предусмотренных п. 1 ч. 1 ст. 33 Закона о контрактной системе, указывается в формируемом с использованием ЕИС извещении об осуществлении закупки на основании пункта 5 ч. 1 ст. 42 Закона о контрактной системе с учетом пункта 3 Положения;</w:t>
      </w:r>
    </w:p>
    <w:p>
      <w:r>
        <w:t>- описание объекта закупки, включающее также характеристики, предусмотренные п. 1 ч. 1 ст. 33 Закона о контрактной системе (то есть, полное описание объекта закупки), прилагается к извещению в качестве документа, сформированного без использования ЕИС.</w:t>
      </w:r>
    </w:p>
    <w:p>
      <w:r>
        <w:t>Кроме того, согласно п. 3 Постановления Правительства РФ от 27.01.2022 N 60 "О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 формирование информации и документов с использованием единой информационной системы осуществляется путем заполнения экранных форм веб-интерфейса единой информационной системы или путем представления в единую информационную систему электронного документа, содержащего сформированную информацию, посредством информационного взаимодействия единой информационной системы с иными информационными системами, используемыми субъектами единой информационной системы.</w:t>
      </w:r>
    </w:p>
    <w:p>
      <w:r>
        <w:t>Аналогичная позиция содержится в Информационном письме Минфина России от 25.09.2023 N 24-03-09/90944 "О размещении описания объекта закупки в единой информационной системе в сфере закупок".</w:t>
      </w:r>
    </w:p>
    <w:p>
      <w:r>
        <w:t>Пунктом 1 Постановления № 1875 установлено, что при осуществлении закупок в соответствии с Законом о контрактной системе и закупок в соответствии с Законом о закупках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устанавливается по перечню согласно приложению № 1, к Постановлению № 1875 (далее — Приложение № 1), а также закупок в рамках государственного оборонного заказа для выполнения мероприятий государственных программ Российской Федерации, государственной программы вооружения, иных мероприятий в рамках государственного оборонного заказа товаров,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устанавливается по перечню согласно приложению № 2 к Постановлению № 1875 (далее — Приложение № 2).</w:t>
      </w:r>
    </w:p>
    <w:p>
      <w:r>
        <w:t>Согласно извещению объектом закупки является поставка картриджей для нужд Заказчика.</w:t>
      </w:r>
    </w:p>
    <w:p>
      <w:r>
        <w:t>Заказчиком выбран код ОКПД 2 28.23.25.000 «Части и принадлежности прочих офисных машин», в связи с чем применено ограничение закупок товаров, происходящих из иностранных государств, выполняемых работ, оказываемых услуг иностранными лицами.</w:t>
      </w:r>
    </w:p>
    <w:p>
      <w:r>
        <w:t>На заседании Комиссии УФАС установлено, установлено, что картриджи для лазерных принтеров и многофункциональных печатающих устройств относятся к коду ОКПД 2 26.20.40.120 «Элементы замены типовые устройств ввода и вывода», что также подтверждается письмом Минпроторга России от 23.10.2024 № 112583/11.</w:t>
      </w:r>
    </w:p>
    <w:p>
      <w:r>
        <w:t>Комиссия УФАС отмечает, что код ОКПД 2 26.20.40.120 содержится в позиции 205 Приложения № 2, в связи с чем при осуществлении закупок картриджей для лазерных принтеров и многофункциональных печатающих устройств надлежит устанавливать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Учитывая изложенное, действия заказчиков, Уполномоченного органа, выразившиеся в установлении кода ОКПД 2 28.23.25.000.</w:t>
      </w:r>
    </w:p>
    <w:p>
      <w:r>
        <w:t>В действиях Заказчика установлено нарушение ч. 6 ст. 23 Закона о контрактной системе, а довод жалобы признан обоснованным.</w:t>
      </w:r>
    </w:p>
    <w:p>
      <w:r>
        <w:t>2. Комиссия УФАС, оценивая доводы сторон, исходит из того, что в силу п. 1-п. 2 ч. 1 ст. 33 Закона о контрактной системе, заказчик в случаях, предусмотренных настоящим Федеральным законом, при описании объекта закупки должен руководствоваться следующими правилами:</w:t>
      </w:r>
    </w:p>
    <w:p>
      <w:r>
        <w:t>1)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В описание объекта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или указания влекут за собой ограничение количества участников закупки. Допускается использование в описании объекта закупки указания на товарный знак в следующих случаях:</w:t>
      </w:r>
    </w:p>
    <w:p>
      <w:r>
        <w:t>а) сопровождение такого указания словами "или эквивалент";</w:t>
      </w:r>
    </w:p>
    <w:p>
      <w:r>
        <w:t>б) несовместимость товаров, на которых размещаются другие товарные знаки, и необходимость обеспечения взаимодействия таких товаров с товарами, используемыми заказчиком;</w:t>
      </w:r>
    </w:p>
    <w:p>
      <w:r>
        <w:t>в) осуществление закупки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r>
        <w:t>г) осуществление закупки медицинских изделий, специализированных продуктов лечебного питания, необходимых для назначения пациенту по медицинским показаниям (индивидуальная непереносимость, по жизненным показаниям) по решению врачебной комиссии, которое фиксируется в медицинской документации пациента и журнале врачебной комиссии. Перечень указанных медицинских изделий, специализированных продуктов лечебного питания и порядок его формирования утверждаются Правительством Российской Федерации;</w:t>
      </w:r>
    </w:p>
    <w:p>
      <w:r>
        <w:t>2) использование при составлении описания объекта закупки показателей, требований, условных обозначений и терминологии, касающихся технических характеристик, функциональных характеристик (потребительских свойств) товара, работы, услуги и качественных характеристик объекта закупки, которые предусмотрены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иных требований, связанных с определением соответствия поставляемого товара, выполняемой работы, оказываемой услуги потребностям заказчика. Если заказчиком при составлении описания объекта закупки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в таком описании должно содержаться обоснование необходимости использования других показателей, требований, условных обозначений и терминологии.</w:t>
      </w:r>
    </w:p>
    <w:p>
      <w:r>
        <w:t>Частью 2 ст. 33 Закона о контрактной системе установлено, что документация о закупке в соответствии с требованиями, указанными в ч. 1 настоящей статьи, должна содержать показатели, позволяющие определить соответствие закупаемых товара, работы, услуги установленным заказчиком требованиям. При этом указываются максимальные и (или) минимальные значения таких показателей, а также значения показателей, которые не могут изменяться.</w:t>
      </w:r>
    </w:p>
    <w:p>
      <w:r>
        <w:t>Таким образом, по смыслу ст. 33 Закона о контрактной системе, при формировании Технического задания Заказчику в рамках Закона о контрактной системе предоставлены полномочия по самостоятельному определению размера лота, а также спецификации и параметров и характеристик товара, в наибольшей степени удовлетворяющих его потребности. Однако из буквального толкования вышеприведенных положений Закона о контрактной системе следует, что заказчики, осуществляющие закупку по правилам данного Закона, при описании объекта закупки должны таким образом прописать требования к закупаемым товарам, работам, услугам, чтобы, с одной стороны, повысить шансы на приобретение услуги именно с такими характеристиками, которые ему необходимы с другой стороны описание объекта закупки не должно необоснованно ограничивать количество участников закупки.</w:t>
      </w:r>
    </w:p>
    <w:p>
      <w:r>
        <w:t>В соответствии с ч. 2 ст. 19 Закона о контрактной системе, под требованиями к закупаемым заказчиком товарам, работам, услугам понимаются требования к количеству, потребительским свойствам (в том числе характеристикам качества) и иным характеристикам товаров, работ, услуг, позволяющие обеспечить государственные и муниципальные нужды, но не приводящие к закупкам товаров, работ, услуг, которые имеют избыточные потребительские свойства или являются предметами роскоши в соответствии с законодательством Российской Федерации.</w:t>
      </w:r>
    </w:p>
    <w:p>
      <w:r>
        <w:t>В силу ч. 3 ст. 33 Закона о контрактной системе, не допускается включение в описание объекта закупки (в том числе в форме требований к качеству, техническим характеристикам товара, работы или услуги, требований к функциональным характеристикам (потребительским свойствам) товара) требований к производителю товара, к участнику закупки (в том числе требования к квалификации участника закупки, включая наличие опыта работы), а также требования к деловой репутации участника закупки, требования к наличию у него производственных мощностей, технологического оборудования, трудовых, финансовых и других ресурсов, необходимых для производства товара, поставка которого является предметом контракта, для выполнения работы или оказания услуги, являющихся предметом контракта, за исключением случаев, если возможность установления таких требований к участнику закупки предусмотрена настоящим Федеральным законом.</w:t>
      </w:r>
    </w:p>
    <w:p>
      <w:r>
        <w:t>Таким образом, Закон о контрактной системе наделяет заказчика правом самостоятельно определять параметры и характеристики закупаемого товара, исходя из своих объективных потребностей. Вместе с тем, буквальное толкование норм указанного Закона указывает на необходимость соблюдения баланса между детализированным описанием предмета закупки и обеспечением добросовестной конкуренции. Заказчик, формируя техническое задание, обязан формулировать требования таким образом, чтобы, с одной стороны, закупаемый товар полностью соответствовал его потребностям, а с другой — не создавалось искусственных препятствий для участия в закупке максимально широкого круга поставщиков.</w:t>
      </w:r>
    </w:p>
    <w:p>
      <w:r>
        <w:t>Комиссия УФАС, проанализировав документы, представленные Заявителем и Заказчиком, установила, что доводы Заявителя не нашли своего подтверждения. Изучение содержания извещения показало, что Заказчиком были предусмотрены позиции как оригинальных, так и совместимых картриджей, что подтверждается техническим заданием, являющимся неотъемлемой частью извещения. В частности, согласно предоставленному описанию объекта закупки, лишь отдельные позиции картриджей обозначены как оригинальные, в то время, как иные позиции прямо предусматривают возможность поставки совместимых расходных материалов, что не противоречит действующему законодательству и не влечет за собой ограничение конкуренции.</w:t>
      </w:r>
    </w:p>
    <w:p>
      <w:r>
        <w:t>Кроме того, Комиссия УФАС установила, что указание на оригинальность отдельных позиций картриджей обусловлено объективной необходимостью обеспечения их полной технической совместимости с уже используемым Заказчиком оборудованием, а также необходимостью сохранения условий гарантийного обслуживания указанной техники. Позиция Заказчика о необходимости использования оригинальных картриджей в данных конкретных случаях документально обоснована и не противоречит нормам статьи 33 Закона о контрактной системе, допускающей указание на конкретный товарный знак или оригинальность при наличии объективного обоснования, в том числе для обеспечения совместимости и гарантийных условий использования оборудования.</w:t>
      </w:r>
    </w:p>
    <w:p>
      <w:r>
        <w:t>Также Комиссия УФАС отмечает, что Заказчиком прямо предусмотрено, что во всех случаях, когда в описании объекта закупки указывается на товарный знак или производителя, подразумевается возможность поставки эквивалентной продукции с характеристиками не хуже, чем указанные Заказчиком, при условии, что это не касается тех позиций, для которых прямо обозначено требование оригинальности товара, подтвержденное объективной необходимостью.</w:t>
      </w:r>
    </w:p>
    <w:p>
      <w:r>
        <w:t>Доводы Заявителя о нарушении Постановления Правительства РФ №1875 не нашли подтверждения, поскольку Заказчиком была соблюдена установленная данным постановлением процедура, и указанное постановление не запрещает Заказчику устанавливать объективно обоснованные требования к оригинальности отдельных позиций закупаемого товара при наличии соответствующего документального подтверждения необходимости такого подхода.</w:t>
      </w:r>
    </w:p>
    <w:p>
      <w:r>
        <w:t>Таким образом, Комиссия Санкт-Петербургского УФАС России приходит к выводу, что Заказчиком не допущено каких-либо нарушений требований законодательства о контрактной системе, а действия Заказчика по установлению отдельных позиций как оригинальных обусловлены объективной необходимостью, законны, правомерны и не противоречат требованиям Закона о контрактной системе.</w:t>
      </w:r>
    </w:p>
    <w:p>
      <w:r>
        <w:t>Более того, частью 4 ст. 106 Закона о контрактной системе предусмотрено, участник закупки, подавший жалобу, вправе представить для рассмотрения жалобы по существу информацию и документы, подтверждающие обоснованность доводов жалобы.</w:t>
      </w:r>
    </w:p>
    <w:p>
      <w:r>
        <w:t>Вместе с тем, податель жалобы своим правом также не воспользовался и не представил доказательств, в том числе экспертиз, экспертных заключений, которые бы подтверждали, что установленные Заказчиком требования к объекту закупки не обусловлены необходимостью удовлетворения потребности Заказчика и приведут к ограничению количества участников закупки.</w:t>
      </w:r>
    </w:p>
    <w:p>
      <w:r>
        <w:t>Учитывая указанные обстоятельства, Комиссия УФАС находит доводы Заявителя необоснованными.</w:t>
      </w:r>
    </w:p>
    <w:p>
      <w:r>
        <w:t>3. Вместе с тем, Комиссия УФАС отмечает, что в материалах дела отсутствуют сведения, позволяющие утверждать, что выявленное нарушение могло повлиять на результаты закупки.</w:t>
      </w:r>
    </w:p>
    <w:p>
      <w:r>
        <w:t>Таким образом, Комиссией УФАС принято решение обязательное для исполнения предписание об устранении выявленного нарушения законодательства о контрактной системе не выдавать в связи с отсутствием доказательств того, что выявленное нарушение повлияло на результаты закупки.</w:t>
      </w:r>
    </w:p>
    <w:p>
      <w:r>
        <w:t>Комиссия УФАС, руководствуясь ст. ст. 2, 99, 106 Закона о контрактной системе,</w:t>
      </w:r>
    </w:p>
    <w:p>
      <w:pPr>
        <w:pStyle w:val="Heading2"/>
      </w:pPr>
      <w:r>
        <w:t>резолютивная часть</w:t>
      </w:r>
    </w:p>
    <w:p>
      <w:r>
        <w:t>РЕШИЛА:</w:t>
      </w:r>
    </w:p>
    <w:p>
      <w:r>
        <w:t>1. Признать жалобу ООО «ПРОСЕРВИС» обоснованной частично.</w:t>
      </w:r>
    </w:p>
    <w:p>
      <w:r>
        <w:t>2. Признать в действиях Заказчика нарушение ч. 6 ст. 23 Закона о контрактной системе.</w:t>
      </w:r>
    </w:p>
    <w:p>
      <w:r>
        <w:t>3. Обязательное для исполнения предписание об устранении выявленного нарушения законодательства о контрактной системе не выдавать в связи с отсутствием доказательств того, что выявленное нарушение повлияло на результаты закупки.</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w:t>
      </w:r>
    </w:p>
    <w:p>
      <w:r>
        <w:t>Настоящее решение может быть обжаловано в судебном порядке в течение трёх месяцев со дня принятия.</w:t>
      </w:r>
    </w:p>
    <w:p>
      <w:r>
        <w:t>12</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