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202600114959002661</w:t>
      </w:r>
    </w:p>
    <w:p>
      <w:r>
        <w:rPr>
          <w:b/>
        </w:rPr>
        <w:t xml:space="preserve">УФАС: </w:t>
      </w:r>
      <w:r>
        <w:t>УФАС по Ленинградской области</w:t>
      </w:r>
    </w:p>
    <w:p>
      <w:r>
        <w:rPr>
          <w:b/>
        </w:rPr>
        <w:t xml:space="preserve">Дата решения: </w:t>
      </w:r>
      <w:r>
        <w:t>25.03.2026</w:t>
      </w:r>
    </w:p>
    <w:p>
      <w:r>
        <w:rPr>
          <w:b/>
        </w:rPr>
        <w:t xml:space="preserve">Исход: </w:t>
      </w:r>
      <w:r>
        <w:t>обоснована</w:t>
      </w:r>
    </w:p>
    <w:p>
      <w:r>
        <w:rPr>
          <w:b/>
        </w:rPr>
        <w:t xml:space="preserve">Закупка №: </w:t>
      </w:r>
      <w:r>
        <w:t>0145600006926000029</w:t>
      </w:r>
    </w:p>
    <w:p>
      <w:r>
        <w:rPr>
          <w:b/>
        </w:rPr>
        <w:t xml:space="preserve">Заказчик: </w:t>
      </w:r>
      <w:r>
        <w:t>МКУ «Управление строительства гатчинского муниципального округа»</w:t>
      </w:r>
    </w:p>
    <w:p>
      <w:r>
        <w:rPr>
          <w:b/>
        </w:rPr>
        <w:t xml:space="preserve">Заявитель: </w:t>
      </w:r>
      <w:r>
        <w:t>ООО «Научно-производственная фирма »Экоальянс"</w:t>
      </w:r>
    </w:p>
    <w:p>
      <w:r>
        <w:rPr>
          <w:b/>
        </w:rPr>
        <w:t xml:space="preserve">Первоисточник в ЕИС: </w:t>
      </w:r>
      <w:r>
        <w:t>https://zakupki.gov.ru/epz/complaint/card/complaint-information.html?complaintNumber=202600114959002661</w:t>
      </w:r>
    </w:p>
    <w:p/>
    <w:p>
      <w:pPr>
        <w:pStyle w:val="Heading1"/>
      </w:pPr>
      <w:r>
        <w:t>Решение</w:t>
      </w:r>
    </w:p>
    <w:p>
      <w:pPr>
        <w:pStyle w:val="Heading2"/>
      </w:pPr>
      <w:r>
        <w:t>вводная часть</w:t>
      </w:r>
    </w:p>
    <w:p>
      <w:r>
        <w:t>Заказчик:</w:t>
      </w:r>
    </w:p>
    <w:p>
      <w:r>
        <w:t>Муниципальное казенное учреждение «Управление строительства Гатчинского муниципального округа»</w:t>
      </w:r>
    </w:p>
    <w:p>
      <w:r>
        <w:t>usmogatchina@yandex.ru</w:t>
      </w:r>
    </w:p>
    <w:p>
      <w:r>
        <w:t>Уполномоченный орган:</w:t>
      </w:r>
    </w:p>
    <w:p>
      <w:r>
        <w:t>Администрация Муниципального образования «Гатчинский муниципальный округ» Ленинградской области munzak@gmolo.ru; kui@gmolo.ru</w:t>
      </w:r>
    </w:p>
    <w:p>
      <w:r>
        <w:t>Заявитель:</w:t>
      </w:r>
    </w:p>
    <w:p>
      <w:r>
        <w:t>Общество с ограниченной ответственностью «Научно-производственная фирма «Экоальянс»</w:t>
      </w:r>
    </w:p>
    <w:p>
      <w:r>
        <w:t>ecoalliance.spb@xmail.ru</w:t>
      </w:r>
    </w:p>
    <w:p>
      <w:r>
        <w:t>Оператор электронной площадки:</w:t>
      </w:r>
    </w:p>
    <w:p>
      <w:r>
        <w:t>ООО АГЗ РТ</w:t>
      </w:r>
    </w:p>
    <w:p>
      <w:r>
        <w:t>agzrt@tatar.ru; sale@mail.zakazrf.ru</w:t>
      </w:r>
    </w:p>
    <w:p>
      <w:r>
        <w:t>номер извещения</w:t>
      </w:r>
    </w:p>
    <w:p>
      <w:r>
        <w:t>0145600006926000029</w:t>
      </w:r>
    </w:p>
    <w:p>
      <w:r>
        <w:t>РЕШЕНИЕ</w:t>
      </w:r>
    </w:p>
    <w:p>
      <w:r>
        <w:t>Комиссии Ленинградского УФАС России</w:t>
      </w:r>
    </w:p>
    <w:p>
      <w:r>
        <w:t>по контролю в сфере закупок</w:t>
      </w:r>
    </w:p>
    <w:p>
      <w:r>
        <w:t>по делу № 047/06/105-369/2026</w:t>
      </w:r>
    </w:p>
    <w:p>
      <w:r>
        <w:t>25 марта 2026 года г. Санкт-Петербург</w:t>
      </w:r>
    </w:p>
    <w:p>
      <w:r>
        <w:t>Комиссия Ленинградского УФАС России по контролю в сфере закупок (далее – Комиссия) в составе:</w:t>
      </w:r>
    </w:p>
    <w:p>
      <w:r>
        <w:t>заседание проводилось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в присутствии представителей по доверенности</w:t>
      </w:r>
    </w:p>
    <w:p>
      <w:r>
        <w:t>от Заказчика – МКУ «Управление строительства Гатчинского муниципального округа»:</w:t>
      </w:r>
    </w:p>
    <w:p>
      <w:r>
        <w:t>от Уполномоченного органа – Администрация Муниципального образования «Гатчинский муниципальный округ» Ленинградской области:</w:t>
      </w:r>
    </w:p>
    <w:p>
      <w:r>
        <w:t>в отсутствие представителей от Заявителя, извещенные о времени и месте заседания Комиссии надлежащим образом,</w:t>
      </w:r>
    </w:p>
    <w:p>
      <w:r>
        <w:t>рассмотрев в соответствии с Положением о территориальном органе Федеральной антимонопольной службы, утвержденного приказом ФАС России от 23.07.2015 № 649/15, жалобу Заявителя и в результате проведения в соответствии с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внеплановой проверки</w:t>
      </w:r>
    </w:p>
    <w:p>
      <w:pPr>
        <w:pStyle w:val="Heading2"/>
      </w:pPr>
      <w:r>
        <w:t>описательная часть</w:t>
      </w:r>
    </w:p>
    <w:p>
      <w:r>
        <w:t>УСТАНОВИЛА:</w:t>
      </w:r>
    </w:p>
    <w:p>
      <w:r>
        <w:t>В Ленинградское УФАС России поступила жалоба Заявителя (вх. № 2022/26 от 18.03.2026) на положения извещения при проведении открытого конкурса в электронной форме «Благоустройство общественной территории, расположенной по адресу: Ленинградская область, г.Гатчина, аллея Императора Павла Первого (левая сторона)».</w:t>
      </w:r>
    </w:p>
    <w:p>
      <w:r>
        <w:t>Извещение о проведении открытого конкурса в электронной форме размещено 03.03.2026 на официальном сайте единой информационной системы в сфере закупок в информационно-телекоммуникационной сети «Интернет» www.zakupki.gov.ru (далее – ЕИС).</w:t>
      </w:r>
    </w:p>
    <w:p>
      <w:r>
        <w:t>Начальная (максимальная) цена контракта - 74 117 276,46 рублей.</w:t>
      </w:r>
    </w:p>
    <w:p>
      <w:r>
        <w:t>Рассмотрев представленные документы, Комиссия пришла к следующим выводам.</w:t>
      </w:r>
    </w:p>
    <w:p>
      <w:r>
        <w:t>В силу части 1 статьи 2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Закона о контрактной системе и других федеральных законов, регулирующих отношения, указанные в части 1 статьи 1 Закона о контрактной системе. Нормы права, содержащиеся в других федеральных законах и регулирующие указанные отношения, должны соответствовать Закону о контрактной системе.</w:t>
      </w:r>
    </w:p>
    <w:p>
      <w:r>
        <w:t>Часть 1 статьи 8 Закона о контрактной системе гласит,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
        <w:t>При этом в соответствии с частью 2 указанной статьи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части 1 статьи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Конкурентными способами определения поставщиков являются, в том числе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 (часть 2 статьи 24 Закона о контрактной системе).</w:t>
      </w:r>
    </w:p>
    <w:p>
      <w:r>
        <w:t>В соответствии с частью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w:t>
      </w:r>
    </w:p>
    <w:p>
      <w:r>
        <w:t>Частью 2 статьи 42 Закона о контрактной системе предусмотрено, что извещение об осуществлении закупки, если иное не предусмотрено Законом о контрактной системе, должно содержать следующие электронные документы:</w:t>
      </w:r>
    </w:p>
    <w:p>
      <w:r>
        <w:t>1) описание объекта закупки в соответствии со статьей 33 Закона о контрактной системе;</w:t>
      </w:r>
    </w:p>
    <w:p>
      <w:r>
        <w:t>2) 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
        <w:t>3)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4) порядок рассмотрения и оценки заявок на участие в конкурсах в соответствии с Законом о контрактной системе;</w:t>
      </w:r>
    </w:p>
    <w:p>
      <w:r>
        <w:t>5) проект контракта;</w:t>
      </w:r>
    </w:p>
    <w:p>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
        <w:t>а) 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 111-ФЗ «Об инвестировании средств для финансирования накопительной пенсии в Российской Федерации»;</w:t>
      </w:r>
    </w:p>
    <w:p>
      <w:r>
        <w:t>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 117-ФЗ «О накопительно-ипотечной системе жилищного обеспечения военнослужащих»;</w:t>
      </w:r>
    </w:p>
    <w:p>
      <w:r>
        <w:t>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t>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Пунктом 4 части 2 статьи 42 Закона о контрактной системе определено, что извещение об осуществлении закупки, если иное не предусмотрено Законом о контрактной системе, должно содержать порядок рассмотрения и оценки заявок на участие в конкурсах в соответствии с Законом о контрактной системе. Порядок рассмотрения и оценки заявок на участие в конкурсе размещается заказчиками в виде электронного документа.</w:t>
      </w:r>
    </w:p>
    <w:p>
      <w:r>
        <w:t>Согласно части 1 статьи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Частью 8 статьи 32 Закона о контрактной системе предусмотрено, что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
        <w:t>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20.12.2021 № 2369 и признании утратившими силу некоторых актов и отдельных положений некоторых актов Правительства Российской Федерации» (далее - Постановление Правительства № 2604) утверждено положение об оценке заявок на участие в закупке товаров, работ, услуг для обеспечения государственных и муниципальных нужд (далее - Положение).</w:t>
      </w:r>
    </w:p>
    <w:p>
      <w:r>
        <w:t>Рассмотрев жалобу по существу, документы и сведения, представленные сторонами и размещенные на официальном сайте ЕИС, проведя внеплановую проверку определения поставщика (подрядчика, исполнителя) на предмет соответствия требованиям законодательства Российской Федерации о контрактной системе в сфере закупок товаров, работ, услуг для государственных и муниципальных нужд, Комиссия установила следующие обстоятельства.</w:t>
      </w:r>
    </w:p>
    <w:p>
      <w:r>
        <w:t>Из содержания первого довода жалобы следует, что проект контракта не содержит условия, необходимые по Постановлению Правительства РФ от 23.12.2016 № 1466 «Об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
        <w:t>Согласно частью 5 статьи 30 Закона о контрактной системе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
        <w:t>Частью 7 статьи 30 Закона о контрактной системе установлено типовые условия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
        <w:t>Постановлением Правительства РФ от 23.12.2016 № 1466 «Об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(далее – Постановление № 1466, ПП № 1466) установлены типовые условия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(далее – Типовые условия).</w:t>
      </w:r>
    </w:p>
    <w:p>
      <w:r>
        <w:t>В соответствии с пунктом 5 Раздела I. Условия об обязанностях поставщика (подрядчика, исполнителя) Типовых условий: Оплачивать поставленные субподрядчиком, соисполнителем товары, выполненные работы (ее результаты), оказанные услуги, отдельные этапы исполнения договора, заключенного с таким субподрядчиком, соисполнителем, в течение 7 рабочих дней с даты подписания поставщиком (подрядчиком, исполнителем) документа о приемке товара, выполненной работы (ее результатов), оказанной услуги, отдельных этапов исполнения договора.</w:t>
      </w:r>
    </w:p>
    <w:p>
      <w:r>
        <w:t>Комиссия, проанализировав извещение в полном объеме, установила, что в структурированной версии извещение установлено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 5 ст. 30 Закона № 44 ФЗ.</w:t>
      </w:r>
    </w:p>
    <w:p>
      <w:r>
        <w:t>Вместе с тем Комиссией установлено, что Заказчиком в Проекте контракта в части обязанностей Подрядчика указано следующее:</w:t>
      </w:r>
    </w:p>
    <w:p>
      <w:r>
        <w:t>«8.4.43. Оплачивает поставленные субподрядчиком, соисполнителем товары, выполненные работы (ее результаты), оказанные услуги, отдельные этапы исполнения договора, заключенного с таким субподрядчиком, соисполнителем, в течение 15 рабочих дней с даты подписания поставщиком (подрядчиком, исполнителем) документа о приемке товара, выполненной работы (ее результатов), оказанной услуги, отдельных этапов исполнения договора».</w:t>
      </w:r>
    </w:p>
    <w:p>
      <w:r>
        <w:t>Согласно части 3 статьи 7 Закона о контрактной системе информация, предусмотренная Законом о контрактной системе и размещенная в единой информационной системе, должна быть полной и достоверной.</w:t>
      </w:r>
    </w:p>
    <w:p>
      <w:r>
        <w:t>Представитель Заказчика на заседании Комиссии подтвердил, что при составлении проекта контракта допущена техническая ошибка, однако Заказчиком данный факт был выявлен в срок, не позволяющий внести изменение в размещенную документацию. Заказчик на заседании Комиссии пояснил, что данная техническая ошибка будет исправлена путем дополнительного соглашения после заключения контракта, а нарушение никак не может повлиять на результат определения поставщика.</w:t>
      </w:r>
    </w:p>
    <w:p>
      <w:pPr>
        <w:pStyle w:val="Heading2"/>
      </w:pPr>
      <w:r>
        <w:t>мотивировочная часть</w:t>
      </w:r>
    </w:p>
    <w:p>
      <w:r>
        <w:t>Таким образом, Комиссия усматривает в действиях Заказчика нарушение части 3 статьи 7 Закона о контрактной системе при составлении извещения об осуществлении закупки.</w:t>
      </w:r>
    </w:p>
    <w:p>
      <w:r>
        <w:t>Относительно второго довода Заявителя, Комиссия установила следующее.</w:t>
      </w:r>
    </w:p>
    <w:p>
      <w:r>
        <w:t>Заявитель оспаривает положения порядка рассмотрения и оценки заявок участников, установленный Заказчиком. По мнению Заявителя, порядок рассмотрения и оценки заявок для показателя «Качественные характеристики объекта закупки» нарушает положения Закона о контрактной системе.</w:t>
      </w:r>
    </w:p>
    <w:p>
      <w:r>
        <w:t>Согласно порядку рассмотрения и оценки заявок участников по нестоимостному критерию оценки «качественные характеристики объекта закупки», в рамках детализирующего показателя «характеристика N 1 (качество товаров (работ, услуг))» установлены следующие положения:</w:t>
      </w:r>
    </w:p>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обеспечение надлежащей технологии выполнения работ; технология управления рисками; обеспечение необходимым количеством персонала; осуществление своевременного контроля качества выполнения работ; соблюдаемые правила обеспечения безопасности выполнения работ;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w:t>
      </w:r>
    </w:p>
    <w:p>
      <w: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выполнения работ (первое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выполнении работ по контракту, на право заключения которого проводится настоящий конкурс, а также описание технологии, применяемой при выполнении работ, способствующей повышению уровня качества работ.</w:t>
      </w:r>
    </w:p>
    <w:p>
      <w:r>
        <w:t>Под технологией управления рисками (второе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w:t>
      </w:r>
    </w:p>
    <w:p>
      <w:r>
        <w:t>Под обеспечением необходимым количеством персонала (третье свойство) понимается перечень специалистов (сотрудников), задействованных при выполнении работ по контракту, на право заключения которого проводится настоящий конкурс, с указанием по каждому такому специалисту (сотруднику) в отдельности: должности, опыта работы в соответствующей должности, профессиональных задач и обязанностей, должностной инструкции, и инструкции по взаимодействию с другими сотрудниками, планируемыми к привлечению при выполнении работ по контракту, на право заключения которого проводится настоящий конкурс.</w:t>
      </w:r>
    </w:p>
    <w:p>
      <w:r>
        <w:t>Под осуществлением своевременного контроля качества выполнения работ (четвертое свойство) понимаются методы, направленные на контроль качества результата выполненных работ, методы по внутреннему контролю за состоянием уровня безопасности на объекте; методы контроля за устранением недостатков при выполнении работ, указанных заказчиком, методы, направленные на контроль качества выполнения работ, и методы контроля за действиями непосредственных исполнителей (подрядчиков).</w:t>
      </w:r>
    </w:p>
    <w:p>
      <w:r>
        <w:t>Под соблюдаемыми правилами обеспечения безопасности выполнения работ (пятое свойство) понимается порядок исполнения эпидемиологических требований при выполнении работ, порядок подготовки места выполнения работ для обеспечения возможности проведения последующей приемки выполненных работ и дальнейшей эксплуатации;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 обязательствах для достижения целей в области охраны труда; соблюдение пожарной безопасности, техники безопасности, мероприятия по обеспечению охраны труда при выполнении работ, мероприятия по обращению с отходами в соответствии с действующим законодательством РФ.</w:t>
      </w:r>
    </w:p>
    <w:p>
      <w:r>
        <w:t>Под оснащением квалифицированного персонала участника закупки надлежащим оборудованием, инструментами и иными необходимыми средствами (шестое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выполнении работ, с указанием по каждому такому оборудованию, инструменту и иному необходимому средству в отдельности: наименования, количества, марки,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выполнения соответствующих работ.</w:t>
      </w:r>
    </w:p>
    <w:p>
      <w:r>
        <w:t>Под обеспечением надлежащей технологии управления системой качества (седьмое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мерах личной безопасности сотрудников при возникновении чрезвычайных ситуаций; информацию о лицах, уполномоченных совершать проверку объектов.</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настоящем порядке оценки.</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в противном случае представленное предложение о качественных характеристиках объекта закупки трактуется как «Отсутствие предложения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(данные слова и словосочетания должно быть заменены участником на другое слово/словосочетание, исключающее двоякое толкование представленной информации – например: «отсутствует»).</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Порядка рассмотрения и оценки заявок на участие в конкурсе, трактуется как «Отсутствие предложения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«Отсутствие предложения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Отсутствие предложения характеристики объекта закупки</w:t>
            </w:r>
          </w:p>
        </w:tc>
        <w:tc>
          <w:tcPr>
            <w:tcW w:type="dxa" w:w="4320"/>
          </w:tcPr>
          <w:p>
            <w:r>
              <w:t>0 баллов</w:t>
            </w:r>
          </w:p>
        </w:tc>
      </w:tr>
    </w:tbl>
    <w:p>
      <w:r>
        <w:t>»</w:t>
      </w:r>
    </w:p>
    <w:p>
      <w:r>
        <w:t>Комиссия отмечает, что в соответствии с пунктом 16 Положения оценки заявок для оценки заявок по критерию оценки «характеристики объекта закупки» могут применяться, если иное не предусмотрено Положением,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Пунктом 17 Постановления Правительства № 2604 предусмотрено, что для оценки заявок по показателям оценки, предусмотренным пунктом 16 Положения, применяются детализирующие показатели, предусматривающие оценку различных характеристик, образующих такие показатели оценки.</w:t>
      </w:r>
    </w:p>
    <w:p>
      <w:r>
        <w:t>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Положению, устанавливается перечень свойств объекта закупки, подлежащих оценке (пункт 19 Постановления Правительства № 2604).</w:t>
      </w:r>
    </w:p>
    <w:p>
      <w:r>
        <w:t>Пунктом 22 Положения определено, что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оценке по критерию оценки «Характеристики объекта закупки», по шкале оценки. При этом документом, предусмотренным приложением № 1 к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соответствии с пунктом 23 Положения, если в случае, указанном в пункте 22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Глава IV Положения «Оценка заявок по критерию оценки «характеристики объекта закупки» предусматривает характеристики, которые определяются и не определяется количественным значением, а также в случае отсутствия функциональной зависимости между значением характеристики объекта закупки, определенной количественным значением.</w:t>
      </w:r>
    </w:p>
    <w:p>
      <w:r>
        <w:t>В данном конкретном случае анализ извещения позволяет сделать вывод, что описание условий исполнения контракта в соответствии со всеми требованиями, не является каким-либо «конкурентным преимуществом». В любом случае, исполнитель обязан будет выполнять условия контракта в полном объеме и с тем качеством, которое установлено Заказчиком в описании объекта закупки.</w:t>
      </w:r>
    </w:p>
    <w:p>
      <w:r>
        <w:t>Само по себе многостраничное описание того, как потенциальный участник закупки будет поставлять товар/выполнять работы/оказывать услуги, не может служить показателем, за который будут присваиваться баллы. Во-первых, подобный подход открывает возможность конкурсной комиссии начислять баллы субъективным образом, во-вторых, закупка проводится для удовлетворения нужд Заказчика, а качество товара, работ, услуг определяется контрактом и описанием объекта закупки.</w:t>
      </w:r>
    </w:p>
    <w:p>
      <w:r>
        <w:t>Комиссия обращает внимание, что обязанность описать свои потребности и как должны исполняться обязательства по контракту, лежит на Заказчике, о чем свидетельствует анализ статьи 33 Закона о контрактной системе.</w:t>
      </w:r>
    </w:p>
    <w:p>
      <w:r>
        <w:t>Таким образом, Комиссия приходит к выводу, что в рассматриваемом порядке рассмотрения и оценке заявок Заказчик не установил качественные характеристики объекта закупки в понимании пункта 16 Положения № 2604.</w:t>
      </w:r>
    </w:p>
    <w:p>
      <w:r>
        <w:t>Вышеуказанный подход подтверждается многочисленной судебной практикой с участием Ленинградского УФАС России, например, по делам А56-9711/2022, А56-124396/2023, А56-13616/2024.</w:t>
      </w:r>
    </w:p>
    <w:p>
      <w:r>
        <w:t>Определились повлияло ли нарушение на результат определения поставщика не представляется возможным, поскольку на дату проведения проверки, то есть на 25.03.2026, итоговой протокол в ЕИС не размещался.</w:t>
      </w:r>
    </w:p>
    <w:p>
      <w:r>
        <w:t>На основании вышеизложенного, Комиссия усматривает в действиях Заказчика нарушение требований пункта 4 части 2 статьи 42 Закона о контрактной системе.</w:t>
      </w:r>
    </w:p>
    <w:p>
      <w:r>
        <w:t>Положения части 22 статьи 99 Закона о контрактной системе предоставляют антимонопольному органу право выдавать Заказчику обязательное для исполнения предписание.</w:t>
      </w:r>
    </w:p>
    <w:p>
      <w:r>
        <w:t>Такое право должно быть реализовано контролирующим органом с учетом принципов добросовестности и недопущения ущемления прав не только участников закупки, но и заказчика, принимая во внимание необходимость скорейшего удовлетворения его потребностей, соблюдения баланса частных и публичных интересов, своевременного и добросовестного использования бюджетных средств (Обзор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w:t>
      </w:r>
    </w:p>
    <w:p>
      <w:r>
        <w:t>Совокупность обстоятельств дела указывает на то, что в извещении действительно имеются нарушения, вместе на дату рассмотрения дела у Комиссии не имеется информации, что они влияют на результат определения поставщика, в той степени, чтобы это предусматривало выдачу предписания, учитывая, что сам Заявитель за разъяснениями в указанной части к Заказчику не обращался, явку на заседание Комиссии не обеспечил.</w:t>
      </w:r>
    </w:p>
    <w:p>
      <w:r>
        <w:t>На основании изложенного и, руководствуясь частью 8 статьи 106, пунктом 2 части 22 статьи 99 Закона о контрактной системе, Комиссия</w:t>
      </w:r>
    </w:p>
    <w:p>
      <w:pPr>
        <w:pStyle w:val="Heading2"/>
      </w:pPr>
      <w:r>
        <w:t>резолютивная часть</w:t>
      </w:r>
    </w:p>
    <w:p>
      <w:r>
        <w:t>РЕШИЛА:</w:t>
      </w:r>
    </w:p>
    <w:p>
      <w:r>
        <w:t>1. Признать жалобу ООО «НПФ «Экоальянс» обоснованной;</w:t>
      </w:r>
    </w:p>
    <w:p>
      <w:r>
        <w:t>2. Признать в действиях Заказчика нарушение части 3 статьи 7 Закона о контрактной системе, пункта 4 части 2 статьи 42 Закона о контрактной системе;</w:t>
      </w:r>
    </w:p>
    <w:p>
      <w:r>
        <w:t>3. Не выдавать предписание об устранении выявленных нарушений;</w:t>
      </w:r>
    </w:p>
    <w:p>
      <w:r>
        <w:t>4. 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6</w:t>
      </w:r>
    </w:p>
    <w:p>
      <w:r>
        <w:t>9</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