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202600114959003641</w:t>
      </w:r>
    </w:p>
    <w:p>
      <w:r>
        <w:rPr>
          <w:b/>
        </w:rPr>
        <w:t xml:space="preserve">УФАС: </w:t>
      </w:r>
      <w:r>
        <w:t>УФАС по Санкт-Петербургу</w:t>
      </w:r>
    </w:p>
    <w:p>
      <w:r>
        <w:rPr>
          <w:b/>
        </w:rPr>
        <w:t xml:space="preserve">Дата решения: </w:t>
      </w:r>
      <w:r>
        <w:t>Опубликовано в ЕИС 09.04.2026 · в тексте решения — 10.04.2026</w:t>
      </w:r>
    </w:p>
    <w:p>
      <w:r>
        <w:rPr>
          <w:b/>
        </w:rPr>
        <w:t xml:space="preserve">Исход: </w:t>
      </w:r>
      <w:r>
        <w:t>обоснована</w:t>
      </w:r>
    </w:p>
    <w:p>
      <w:r>
        <w:rPr>
          <w:b/>
        </w:rPr>
        <w:t xml:space="preserve">Закупка №: </w:t>
      </w:r>
      <w:r>
        <w:t>0372200014026000060</w:t>
      </w:r>
    </w:p>
    <w:p>
      <w:r>
        <w:rPr>
          <w:b/>
        </w:rPr>
        <w:t xml:space="preserve">Заказчик: </w:t>
      </w:r>
      <w:r>
        <w:t>Санкт-Петербургское государственное бюджетное учреждение здравоохранения «Городская поликлиника № 60 Пушкинского района»</w:t>
      </w:r>
    </w:p>
    <w:p>
      <w:r>
        <w:rPr>
          <w:b/>
        </w:rPr>
        <w:t xml:space="preserve">Заявитель: </w:t>
      </w:r>
      <w:r>
        <w:t>ООО «Частное охранное предприятие »БАРС-с"</w:t>
      </w:r>
    </w:p>
    <w:p>
      <w:r>
        <w:rPr>
          <w:b/>
        </w:rPr>
        <w:t xml:space="preserve">Первоисточник в ЕИС: </w:t>
      </w:r>
      <w:r>
        <w:t>https://zakupki.gov.ru/epz/complaint/card/complaint-information.html?complaintNumber=202600114959003641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 № 60 ПУШКИНСКОГО РАЙОНА"</w:t>
              <w:br/>
              <w:t>Российская Федерация, 196601,</w:t>
              <w:br/>
              <w:t>Санкт-Петербург, Пушкин г, УЛ МОСКОВСКАЯ, ДОМ 15</w:t>
              <w:br/>
              <w:t>ООО ЧОП "БАРС-С"</w:t>
              <w:br/>
              <w:t>194021, Г.САНКТ-ПЕТЕРБУРГ, вн.тер.г. МУНИЦИПАЛЬНЫЙ ОКРУГ СВЕТЛАНОВСКОЕ, УЛ ПОЛИТЕХНИЧЕСКАЯ, Д. 6, СТР. 1, ПОМЕЩ. Н-47</w:t>
            </w:r>
          </w:p>
        </w:tc>
      </w:tr>
    </w:tbl>
    <w:p>
      <w:r>
        <w:t>РЕШЕНИЕ</w:t>
      </w:r>
    </w:p>
    <w:p>
      <w:r>
        <w:t>по делу № 078/06/105-1315/2026 о нарушении законодательства о контрактной системе</w:t>
      </w:r>
    </w:p>
    <w:p>
      <w:r>
        <w:t>10.04.2026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"ГОРОДСКАЯ ПОЛИКЛИНИКА № 60 ПУШКИНСКОГО РАЙОНА" (далее – Заказчик):;</w:t>
      </w:r>
    </w:p>
    <w:p>
      <w:r>
        <w:t>ООО ЧОП "БАРС-С"» (далее – Заявитель):,</w:t>
      </w:r>
    </w:p>
    <w:p>
      <w:pPr>
        <w:pStyle w:val="Heading2"/>
      </w:pPr>
      <w:r>
        <w:t>описательная часть</w:t>
      </w:r>
    </w:p>
    <w:p>
      <w:r>
        <w:t>рассмотрев посредством системы видеоконференцсвязи жалобу Заявителя (вх. № 7586/26 от 06.04.2026) на действия СПБ ГБУЗ "ГОРОДСКАЯ ПОЛИКЛИНИКА № 60 ПУШКИНСКОГО РАЙОНА", (далее – Комиссия по осуществлению закупок в соответствии с 44-ФЗ), при определении (подрядчика, исполнителя) путем проведения закупки на оказание услуг по организации и обеспечению охраны объектов и имущества, а также обеспечению внутриобъектового и пропускного режима для нужд СПб ГБУЗ «Городская поликлиника №60 Пушкинского района» в 2026 году (извещение № 0372200014026000060)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13.03.2026 в единой информационной системе, номер извещения 0372200014026000060. Максимальное значение цены контрактов: 853 016, 64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w:t>
      </w:r>
    </w:p>
    <w:p>
      <w:r>
        <w:t>Под обеспечением надлежащей технологии оказания услуг (третье свойство) понимаются совокупность методов для достижения желаемого результата в рамках исполнения контракта (далее контракт) в соответствии с требованиями описания объекта закупки,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 Под осуществлением своевременного контроля качества оказания услуг (второе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не только на объекте, но и в организации исполнителя; методы контроля за устранением недостатков при оказании услуг, указанных заказчиком, и методы контроля за действиями непосредственных исполнителей (подрядчиков). Под оснащением квалифицированного персонала участника закупки надлежащим оборудованием, инструментами и иными необходимыми средствами (первое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оказании услуг, находящихся на праве собственности или ином законном основании и других материальных ресурсов,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понимается описание минимальных характеристик и пояснений, позволяющих четко определить сферу их применения и соответствия требованиям Заказчика установленных в закупке, дальнейшего процесса оказания соответствующих услуг. Наличие квалифицированного персонала специалистов (сотрудников), задействованных при оказании услуг по контракту, на право заключения которого проводится настоящий конкурс, с указанием структуры охранной организации (подразделений) с указанием должностей, профессиональных задач и обязанностей (в соответствии с действующим законодательством)), должностной инструкции, инструкции по взаимодействию с другими сотрудниками в охранной организации, выполняемые ими обязанности по охране труда во время исполнения контракта, определяемые с учетом специальности и занимаемой должности в объеме должностной инструкции, принятой участником закупки.</w:t>
      </w:r>
    </w:p>
    <w:p>
      <w:r>
        <w:t>При предоставлении информации участнику предлагается заполнить форму «Качественные характеристики объекта закупки».</w:t>
      </w:r>
    </w:p>
    <w:p>
      <w:r>
        <w:t>В случае указания «Качественные характеристики объекта закупки» контроля за устранением недостатков при оказании услуг, указанных заказчиком, участнику следует также указать в рамках этого же столбца и/или этой же строки функции и порядок осуществления такого контроля, минимальные и максимальные сроки устранения недостатков, минимальные и максимальные сроки и порядок возмещения ущерба заказчику, причиненного при оказании услуг по контракту, на право заключения которого проводится настоящий конкурс. В случае указания «Качественные характеристики объекта закупки» какого-либо контроля, участнику следует указать периодичность такого контроля и лиц (должность), осуществляющих такой контроль. В случае указания в форме «Качественные характеристики объекта закупки» контроля за действиями непосредственных исполнителей, участнику следует не только перечислить сами способы, а также описать последовательность действий по устранению нарушений исполнения контракта, на право заключения которого проводится настоящий конкурс, выявленных при контроле за действиями специалистов (сотрудников), которые будут задействованы при исполнении контракта, на право заключения которого проводится настоящий конкурс, с описанием видов ответственности (санкций), случаев их применения и процесса их применения к специалисту (сотруднику). В случае указания в форме «Качественные характеристики объекта закупки» последовательности всех действий при оказании услуг по контракту, на право заключения которого проводится настоящий конкурс, участнику следует также указать режим работы и последовательность операций (от того, как приступают к оказанию услуг до того, как заканчивают процесс оказания услуг). В случае указания формы «Качественные характеристики объекта закупки» методов, направленных на контроль качества результата оказанных услуг, участнику следует также указать функции и порядок осуществления такого контроля. В случае указания формы «Качественные характеристики объекта закупки» методов по внутреннему контролю за состоянием уровня безопасности на объекте при оказании услуг, участнику следует также указать срок (период) исполнения мероприятий в рамках каждого метода при оказании услуг: конкретный срок и/или периодичность исполнения мероприятий в рамках каждого метода, учитывая действия и в чрезвычайных ситуациях (нештатных ситуациях) с описанием порядка действий в каждом конкретном случае, в том числе при обнаружении беспилотных летательных аппаратов, противодействие распространению вирусных инфекций, коронавирусной инфекции. В форме «Качественные характеристики объекта закупки» участник для оказания услуг использует только действующие нормативно-правовые акты относящихся непосредственно к данной услуге, в том числе установленных в настоящей документацией, участнику следует указывать реквизиты такого нормативно-правового акта: номер (при наличии), дату принятия, наименование документа (при наличии). В случае указания в форме «Качественные характеристики объекта закупки» в рамках реквизитов документа (документов), необходимых к предоставлению исходя из требований, установленных в настоящем конкурсе, такие реквизиты должны содержать номер (при наличии), дату выдачи, наименование документа, дату окончания действия (при наличии).</w:t>
      </w:r>
    </w:p>
    <w:p>
      <w:r>
        <w:t>При формировании описания свойств объекта закупки участник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 Описание свойств объекта закупки участник закупки должен разрабатывать на основе описания объекта закупки и приложений к нему, являющимся его неотъемлемой частью, а также с учетом требований нормативно-правовых актов РФ, и иных актов, указанных в описании объекта закупки.</w:t>
      </w:r>
    </w:p>
    <w:p>
      <w:r>
        <w:t>Участник при формировании предложения о качественных характеристиках объекта закупки должен учитывать положения инструкции по заполнению формы, содержащейся в настоящем приложении, и то, что такое предложение о качественных характеристиках объекта закупки должно содержать всю информацию, требуемую для указания в форме, содержащейся в настоящем приложении. При этом, вся информация, содержащаяся в таком предложении о качественных характеристиках объекта закупки, должна быть представлена в структурированном виде: любая представленная информация, относящаяся к описанию какого-либо свойства объекта закупки, должна однозначно соотноситься с соответствующим свойством объекта закупки, т.е. в рамках описания одного свойства объекта закупки должна быть изложена информация, относящаяся только к этому свойству объекта закупки.</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слов «возможно», «вероятно» и их производные.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p>
      <w:r>
        <w:t>Значение детализирующего показателя - характеристики № 1 (качество товаров (работ, услуг))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31.03.2026 №ПРОI1 заявке участника №3 присвоено 0 баллов по следующим основаниям:</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w:t>
            </w:r>
          </w:p>
        </w:tc>
        <w:tc>
          <w:tcPr>
            <w:tcW w:type="dxa" w:w="960"/>
          </w:tcPr>
          <w:p>
            <w:r>
              <w:t>Критерии оценки</w:t>
            </w:r>
          </w:p>
        </w:tc>
        <w:tc>
          <w:tcPr>
            <w:tcW w:type="dxa" w:w="960"/>
          </w:tcPr>
          <w:p>
            <w:r>
              <w:t>Коэффициент значимости</w:t>
            </w:r>
          </w:p>
        </w:tc>
        <w:tc>
          <w:tcPr>
            <w:tcW w:type="dxa" w:w="960"/>
          </w:tcPr>
          <w:p>
            <w:r>
              <w:t>Предложение участника</w:t>
            </w:r>
          </w:p>
        </w:tc>
        <w:tc>
          <w:tcPr>
            <w:tcW w:type="dxa" w:w="960"/>
          </w:tcPr>
          <w:p>
            <w:r>
              <w:t>Сведения об оценке с учетом значимости заявки по каждому члену комиссии</w:t>
            </w:r>
          </w:p>
        </w:tc>
        <w:tc>
          <w:tcPr>
            <w:tcW w:type="dxa" w:w="960"/>
          </w:tcPr>
          <w:p>
            <w:r>
              <w:t>Оценка с учетом значимости</w:t>
            </w:r>
          </w:p>
        </w:tc>
        <w:tc>
          <w:tcPr>
            <w:tcW w:type="dxa" w:w="960"/>
          </w:tcPr>
          <w:p/>
        </w:tc>
        <w:tc>
          <w:tcPr>
            <w:tcW w:type="dxa" w:w="960"/>
          </w:tcPr>
          <w:p/>
        </w:tc>
        <w:tc>
          <w:tcPr>
            <w:tcW w:type="dxa" w:w="960"/>
          </w:tcPr>
          <w:p/>
        </w:tc>
      </w:tr>
      <w:tr>
        <w:tc>
          <w:tcPr>
            <w:tcW w:type="dxa" w:w="960"/>
          </w:tcPr>
          <w:p>
            <w:r/>
          </w:p>
        </w:tc>
        <w:tc>
          <w:tcPr>
            <w:tcW w:type="dxa" w:w="960"/>
          </w:tcPr>
          <w:p>
            <w:r/>
          </w:p>
        </w:tc>
        <w:tc>
          <w:tcPr>
            <w:tcW w:type="dxa" w:w="960"/>
          </w:tcPr>
          <w:p>
            <w:r/>
          </w:p>
        </w:tc>
        <w:tc>
          <w:tcPr>
            <w:tcW w:type="dxa" w:w="960"/>
          </w:tcPr>
          <w:p>
            <w:r/>
          </w:p>
        </w:tc>
        <w:tc>
          <w:tcPr>
            <w:tcW w:type="dxa" w:w="960"/>
          </w:tcPr>
          <w:p>
            <w:r>
              <w:t>Тимофеева Юлия Игоревна</w:t>
            </w:r>
          </w:p>
        </w:tc>
        <w:tc>
          <w:tcPr>
            <w:tcW w:type="dxa" w:w="960"/>
          </w:tcPr>
          <w:p>
            <w:r>
              <w:t>Величко Максим Сергеевич</w:t>
            </w:r>
          </w:p>
        </w:tc>
        <w:tc>
          <w:tcPr>
            <w:tcW w:type="dxa" w:w="960"/>
          </w:tcPr>
          <w:p>
            <w:r>
              <w:t>Илюшина Мария Александровна</w:t>
            </w:r>
          </w:p>
        </w:tc>
        <w:tc>
          <w:tcPr>
            <w:tcW w:type="dxa" w:w="960"/>
          </w:tcPr>
          <w:p>
            <w:r>
              <w:t>Холод Светлана Владимировна</w:t>
            </w:r>
          </w:p>
        </w:tc>
        <w:tc>
          <w:tcPr>
            <w:tcW w:type="dxa" w:w="960"/>
          </w:tcPr>
          <w:p>
            <w:r/>
          </w:p>
        </w:tc>
      </w:tr>
      <w:tr>
        <w:tc>
          <w:tcPr>
            <w:tcW w:type="dxa" w:w="960"/>
          </w:tcPr>
          <w:p>
            <w:r>
              <w:t>1</w:t>
            </w:r>
          </w:p>
        </w:tc>
        <w:tc>
          <w:tcPr>
            <w:tcW w:type="dxa" w:w="960"/>
          </w:tcPr>
          <w:p>
            <w:r>
              <w:t>Качественные, функциональные и экологические характеристики объекта закупки.</w:t>
            </w:r>
          </w:p>
        </w:tc>
        <w:tc>
          <w:tcPr>
            <w:tcW w:type="dxa" w:w="960"/>
          </w:tcPr>
          <w:p>
            <w:r>
              <w:t>50.00</w:t>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t>0.00</w:t>
            </w:r>
          </w:p>
        </w:tc>
      </w:tr>
      <w:tr>
        <w:tc>
          <w:tcPr>
            <w:tcW w:type="dxa" w:w="960"/>
          </w:tcPr>
          <w:p>
            <w:r>
              <w:t>1.1</w:t>
            </w:r>
          </w:p>
        </w:tc>
        <w:tc>
          <w:tcPr>
            <w:tcW w:type="dxa" w:w="960"/>
          </w:tcPr>
          <w:p>
            <w:r>
              <w:t>Качественные характеристики объекта закупки</w:t>
            </w:r>
          </w:p>
        </w:tc>
        <w:tc>
          <w:tcPr>
            <w:tcW w:type="dxa" w:w="960"/>
          </w:tcPr>
          <w:p>
            <w:r>
              <w:t>100.00</w:t>
            </w:r>
          </w:p>
        </w:tc>
        <w:tc>
          <w:tcPr>
            <w:tcW w:type="dxa" w:w="960"/>
          </w:tcPr>
          <w:p>
            <w:r/>
          </w:p>
        </w:tc>
        <w:tc>
          <w:tcPr>
            <w:tcW w:type="dxa" w:w="960"/>
          </w:tcPr>
          <w:p>
            <w:r>
              <w:t>0.00</w:t>
            </w:r>
          </w:p>
        </w:tc>
        <w:tc>
          <w:tcPr>
            <w:tcW w:type="dxa" w:w="960"/>
          </w:tcPr>
          <w:p>
            <w:r>
              <w:t>0.00</w:t>
            </w:r>
          </w:p>
        </w:tc>
        <w:tc>
          <w:tcPr>
            <w:tcW w:type="dxa" w:w="960"/>
          </w:tcPr>
          <w:p>
            <w:r>
              <w:t>0.00</w:t>
            </w:r>
          </w:p>
        </w:tc>
        <w:tc>
          <w:tcPr>
            <w:tcW w:type="dxa" w:w="960"/>
          </w:tcPr>
          <w:p>
            <w:r>
              <w:t>0.00</w:t>
            </w:r>
          </w:p>
        </w:tc>
        <w:tc>
          <w:tcPr>
            <w:tcW w:type="dxa" w:w="960"/>
          </w:tcPr>
          <w:p>
            <w:r>
              <w:t>0.00</w:t>
            </w:r>
          </w:p>
        </w:tc>
      </w:tr>
      <w:tr>
        <w:tc>
          <w:tcPr>
            <w:tcW w:type="dxa" w:w="960"/>
          </w:tcPr>
          <w:p>
            <w:r>
              <w:t>1.1.1</w:t>
            </w:r>
          </w:p>
        </w:tc>
        <w:tc>
          <w:tcPr>
            <w:tcW w:type="dxa" w:w="960"/>
          </w:tcPr>
          <w:p>
            <w:r>
              <w:t>качество товаров (работ, услуг)</w:t>
            </w:r>
          </w:p>
        </w:tc>
        <w:tc>
          <w:tcPr>
            <w:tcW w:type="dxa" w:w="960"/>
          </w:tcPr>
          <w:p>
            <w:r>
              <w:t>100.00</w:t>
            </w:r>
          </w:p>
        </w:tc>
        <w:tc>
          <w:tcPr>
            <w:tcW w:type="dxa" w:w="960"/>
          </w:tcPr>
          <w:p>
            <w:r>
              <w:t>Будет присутствовать характеристика</w:t>
            </w:r>
          </w:p>
        </w:tc>
        <w:tc>
          <w:tcPr>
            <w:tcW w:type="dxa" w:w="960"/>
          </w:tcPr>
          <w:p>
            <w:r>
              <w:t>0.00</w:t>
            </w:r>
          </w:p>
        </w:tc>
        <w:tc>
          <w:tcPr>
            <w:tcW w:type="dxa" w:w="960"/>
          </w:tcPr>
          <w:p>
            <w:r>
              <w:t>0.00</w:t>
            </w:r>
          </w:p>
        </w:tc>
        <w:tc>
          <w:tcPr>
            <w:tcW w:type="dxa" w:w="960"/>
          </w:tcPr>
          <w:p>
            <w:r>
              <w:t>0.00</w:t>
            </w:r>
          </w:p>
        </w:tc>
        <w:tc>
          <w:tcPr>
            <w:tcW w:type="dxa" w:w="960"/>
          </w:tcPr>
          <w:p>
            <w:r>
              <w:t>0.00</w:t>
            </w:r>
          </w:p>
        </w:tc>
        <w:tc>
          <w:tcPr>
            <w:tcW w:type="dxa" w:w="960"/>
          </w:tcPr>
          <w:p>
            <w:r>
              <w:t>0.00</w:t>
            </w:r>
          </w:p>
        </w:tc>
      </w:tr>
    </w:tbl>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w:t>
      </w:r>
    </w:p>
    <w:p>
      <w:r>
        <w:t>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ЧОП "БАРС-С"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 № 60 ПУШКИНСКОГО РАЙОНА"</w:t>
              <w:br/>
              <w:t>Российская Федерация, 196601,</w:t>
              <w:br/>
              <w:t>Санкт-Петербург, Пушкин г, УЛ МОСКОВСКАЯ, ДОМ 15</w:t>
              <w:br/>
              <w:t>ООО ЧОП "БАРС-С"</w:t>
              <w:br/>
              <w:t>194021, Г.САНКТ-ПЕТЕРБУРГ, вн.тер.г. МУНИЦИПАЛЬНЫЙ ОКРУГ СВЕТЛАНОВСКОЕ, УЛ ПОЛИТЕХНИЧЕСКАЯ, Д. 6, СТР. 1, ПОМЕЩ. Н-47</w:t>
            </w:r>
          </w:p>
        </w:tc>
      </w:tr>
    </w:tbl>
    <w:p>
      <w:r>
        <w:t>ПРЕДПИСАНИЕ</w:t>
      </w:r>
    </w:p>
    <w:p>
      <w:r>
        <w:t>по делу № 078/06/105-1315/2026 об устранении нарушений законодательства о закупках</w:t>
      </w:r>
    </w:p>
    <w:p>
      <w:r>
        <w:t>10.04.2026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078/06/105-1315/2026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САНКТ-ПЕТЕРБУРГСКОЕ ГОСУДАРСТВЕННОЕ БЮДЖЕТНОЕ УЧРЕЖДЕНИЕ ЗДРАВООХРАНЕНИЯ "ГОРОДСКАЯ ПОЛИКЛИНИКА № 60 ПУШКИНСКОГО РАЙОНА", Заказчику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0372200014026000060;</w:t>
      </w:r>
    </w:p>
    <w:p>
      <w:r>
        <w:t>- повторно рассмотреть первые части заявок, поданные на участие в конкурсе № 0372200014026000060,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0372200014026000060) в соответствии с законодательством о контрактной системе.</w:t>
      </w:r>
    </w:p>
    <w:p>
      <w:r>
        <w:t>2. Заказчику и комиссии Уполномоченного органа по осуществлению закупок в срок до 30.05.2026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