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202600114959005264</w:t>
      </w:r>
    </w:p>
    <w:p>
      <w:r>
        <w:rPr>
          <w:b/>
        </w:rPr>
        <w:t xml:space="preserve">УФАС: </w:t>
      </w:r>
      <w:r>
        <w:t>УФАС по Санкт-Петербургу</w:t>
      </w:r>
    </w:p>
    <w:p>
      <w:r>
        <w:rPr>
          <w:b/>
        </w:rPr>
        <w:t xml:space="preserve">Дата решения: </w:t>
      </w:r>
      <w:r>
        <w:t>06.05.2026</w:t>
      </w:r>
    </w:p>
    <w:p>
      <w:r>
        <w:rPr>
          <w:b/>
        </w:rPr>
        <w:t xml:space="preserve">Исход: </w:t>
      </w:r>
      <w:r>
        <w:t>обоснована</w:t>
      </w:r>
    </w:p>
    <w:p>
      <w:r>
        <w:rPr>
          <w:b/>
        </w:rPr>
        <w:t xml:space="preserve">Закупка №: </w:t>
      </w:r>
      <w:r>
        <w:t>0172200005426000031</w:t>
      </w:r>
    </w:p>
    <w:p>
      <w:r>
        <w:rPr>
          <w:b/>
        </w:rPr>
        <w:t xml:space="preserve">Заказчик: </w:t>
      </w:r>
      <w:r>
        <w:t>Администрация Петродворцового района Санкт-Петербурга</w:t>
      </w:r>
    </w:p>
    <w:p>
      <w:r>
        <w:rPr>
          <w:b/>
        </w:rPr>
        <w:t xml:space="preserve">Заявитель: </w:t>
      </w:r>
      <w:r>
        <w:t>ООО «Авангард»</w:t>
      </w:r>
    </w:p>
    <w:p>
      <w:r>
        <w:rPr>
          <w:b/>
        </w:rPr>
        <w:t xml:space="preserve">Первоисточник в ЕИС: </w:t>
      </w:r>
      <w:r>
        <w:t>https://zakupki.gov.ru/epz/complaint/card/complaint-information.html?complaintNumber=202600114959005264</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ПЕТРОДВОРЦОВОГО РАЙОНА САНКТ-ПЕТЕРБУРГА</w:t>
              <w:br/>
              <w:t>198510, Санкт-Петербург Город, Петергоф Город, Калининская Улица, дом 7</w:t>
              <w:br/>
              <w:t>ООО "АВАНГАРД"</w:t>
              <w:br/>
              <w:t>192029, Г.САНКТ-ПЕТЕРБУРГ, вн.тер.г. МУНИЦИПАЛЬНЫЙ ОКРУГ НЕВСКАЯ ЗАСТАВА, ПР-КТ ОБУХОВСКОЙ ОБОРОНЫ, Д. 76, К. 7, ЛИТЕРА А, ПОМЕЩ. 2410</w:t>
            </w:r>
          </w:p>
        </w:tc>
      </w:tr>
    </w:tbl>
    <w:p>
      <w:r>
        <w:t>РЕШЕНИЕ</w:t>
      </w:r>
    </w:p>
    <w:p>
      <w:r>
        <w:t>по делу № 078/06/105-1821/2026 о нарушении законодательства о контрактной системе</w:t>
      </w:r>
    </w:p>
    <w:p>
      <w:r>
        <w:t>06.05.2026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w:t>
      </w:r>
    </w:p>
    <w:p>
      <w:r>
        <w:t>Администрация Петродворцового района Санкт-Петербурга (далее – Уполномоченный орган):,</w:t>
      </w:r>
    </w:p>
    <w:p>
      <w:r>
        <w:t>при участии представителей:</w:t>
      </w:r>
    </w:p>
    <w:p>
      <w:r>
        <w:t>ГБДУ детский сад № 16 общеразвивающего вида с приоритетным осуществлением деятельности по физическому развитию детей Петродворцового района Санкт-Петербурга (далее – Заказчик):,</w:t>
      </w:r>
    </w:p>
    <w:p>
      <w:r>
        <w:t>ООО «АВАНГАРД» (далее – Заявитель):;</w:t>
      </w:r>
    </w:p>
    <w:p>
      <w:pPr>
        <w:pStyle w:val="Heading2"/>
      </w:pPr>
      <w:r>
        <w:t>описательная часть</w:t>
      </w:r>
    </w:p>
    <w:p>
      <w:r>
        <w:t>рассмотрев посредством системы видеоконференцсвязи жалобу Заявителя (вх. № 9843/26 от 30.04.2026) на действия АДМИНИСТРАЦИЯ ПЕТРОДВОРЦОВОГО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выполнение работ по текущему ремонту помещений (извещение № 0172200005426000031)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16.03.2026 на Официальном сайте Единой информационной системы в сфере закупок www.zakupki.gov.ru, номер извещения 0172200005426000031.</w:t>
      </w:r>
    </w:p>
    <w:p>
      <w:r>
        <w:t>Начальная (максимальная) цена контракта – 10 711 695, 13 рублей.</w:t>
      </w:r>
    </w:p>
    <w:p>
      <w:r>
        <w:t>В жалобе Заявитель указывает на неправомерные действия комиссии Заказчика, выразившиеся, по мнению подателя жалобы, в нарушении неправомерном отклонении его заявки от участия в закупке.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В силу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Согласно протоколу рассмотрения и оценки вторых частей заявок на участие в открытом конкурсе в электронной форме от 29.04.2026 №ПРОII2 заявки участников оценены следующим образом:</w:t>
      </w:r>
    </w:p>
    <w:tbl>
      <w:tblPr>
        <w:tblStyle w:val="TableGrid"/>
        <w:tblW w:type="auto" w:w="0"/>
        <w:tblLook w:firstColumn="1" w:firstRow="1" w:lastColumn="0" w:lastRow="0" w:noHBand="0" w:noVBand="1" w:val="04A0"/>
      </w:tblPr>
      <w:tblGrid>
        <w:gridCol w:w="2880"/>
        <w:gridCol w:w="2880"/>
        <w:gridCol w:w="2880"/>
      </w:tblGrid>
      <w:tr>
        <w:tc>
          <w:tcPr>
            <w:tcW w:type="dxa" w:w="2880"/>
          </w:tcPr>
          <w:p>
            <w:r>
              <w:t>85950</w:t>
            </w:r>
          </w:p>
        </w:tc>
        <w:tc>
          <w:tcPr>
            <w:tcW w:type="dxa" w:w="2880"/>
          </w:tcPr>
          <w:p>
            <w:r>
              <w:t>89.65</w:t>
            </w:r>
          </w:p>
        </w:tc>
        <w:tc>
          <w:tcPr>
            <w:tcW w:type="dxa" w:w="2880"/>
          </w:tcPr>
          <w:p>
            <w:r>
              <w:t>1</w:t>
            </w:r>
          </w:p>
        </w:tc>
      </w:tr>
      <w:tr>
        <w:tc>
          <w:tcPr>
            <w:tcW w:type="dxa" w:w="2880"/>
          </w:tcPr>
          <w:p>
            <w:r>
              <w:t>85944</w:t>
            </w:r>
          </w:p>
        </w:tc>
        <w:tc>
          <w:tcPr>
            <w:tcW w:type="dxa" w:w="2880"/>
          </w:tcPr>
          <w:p>
            <w:r>
              <w:t>86.48</w:t>
            </w:r>
          </w:p>
        </w:tc>
        <w:tc>
          <w:tcPr>
            <w:tcW w:type="dxa" w:w="2880"/>
          </w:tcPr>
          <w:p>
            <w:r>
              <w:t>2</w:t>
            </w:r>
          </w:p>
        </w:tc>
      </w:tr>
      <w:tr>
        <w:tc>
          <w:tcPr>
            <w:tcW w:type="dxa" w:w="2880"/>
          </w:tcPr>
          <w:p>
            <w:r>
              <w:t>86057</w:t>
            </w:r>
          </w:p>
        </w:tc>
        <w:tc>
          <w:tcPr>
            <w:tcW w:type="dxa" w:w="2880"/>
          </w:tcPr>
          <w:p>
            <w:r>
              <w:t>83.18</w:t>
            </w:r>
          </w:p>
        </w:tc>
        <w:tc>
          <w:tcPr>
            <w:tcW w:type="dxa" w:w="2880"/>
          </w:tcPr>
          <w:p>
            <w:r>
              <w:t>3</w:t>
            </w:r>
          </w:p>
        </w:tc>
      </w:tr>
      <w:tr>
        <w:tc>
          <w:tcPr>
            <w:tcW w:type="dxa" w:w="2880"/>
          </w:tcPr>
          <w:p>
            <w:r>
              <w:t>85882</w:t>
            </w:r>
          </w:p>
        </w:tc>
        <w:tc>
          <w:tcPr>
            <w:tcW w:type="dxa" w:w="2880"/>
          </w:tcPr>
          <w:p>
            <w:r>
              <w:t>81.88</w:t>
            </w:r>
          </w:p>
        </w:tc>
        <w:tc>
          <w:tcPr>
            <w:tcW w:type="dxa" w:w="2880"/>
          </w:tcPr>
          <w:p>
            <w:r>
              <w:t>4</w:t>
            </w:r>
          </w:p>
        </w:tc>
      </w:tr>
      <w:tr>
        <w:tc>
          <w:tcPr>
            <w:tcW w:type="dxa" w:w="2880"/>
          </w:tcPr>
          <w:p>
            <w:r>
              <w:t>85969</w:t>
            </w:r>
          </w:p>
        </w:tc>
        <w:tc>
          <w:tcPr>
            <w:tcW w:type="dxa" w:w="2880"/>
          </w:tcPr>
          <w:p>
            <w:r>
              <w:t>69.61</w:t>
            </w:r>
          </w:p>
        </w:tc>
        <w:tc>
          <w:tcPr>
            <w:tcW w:type="dxa" w:w="2880"/>
          </w:tcPr>
          <w:p>
            <w:r>
              <w:t>5</w:t>
            </w:r>
          </w:p>
        </w:tc>
      </w:tr>
      <w:tr>
        <w:tc>
          <w:tcPr>
            <w:tcW w:type="dxa" w:w="2880"/>
          </w:tcPr>
          <w:p>
            <w:r>
              <w:t>86007</w:t>
            </w:r>
          </w:p>
        </w:tc>
        <w:tc>
          <w:tcPr>
            <w:tcW w:type="dxa" w:w="2880"/>
          </w:tcPr>
          <w:p>
            <w:r>
              <w:t>65.44</w:t>
            </w:r>
          </w:p>
        </w:tc>
        <w:tc>
          <w:tcPr>
            <w:tcW w:type="dxa" w:w="2880"/>
          </w:tcPr>
          <w:p>
            <w:r>
              <w:t>6</w:t>
            </w:r>
          </w:p>
        </w:tc>
      </w:tr>
      <w:tr>
        <w:tc>
          <w:tcPr>
            <w:tcW w:type="dxa" w:w="2880"/>
          </w:tcPr>
          <w:p>
            <w:r>
              <w:t>85963</w:t>
            </w:r>
          </w:p>
        </w:tc>
        <w:tc>
          <w:tcPr>
            <w:tcW w:type="dxa" w:w="2880"/>
          </w:tcPr>
          <w:p>
            <w:r>
              <w:t>58.82</w:t>
            </w:r>
          </w:p>
        </w:tc>
        <w:tc>
          <w:tcPr>
            <w:tcW w:type="dxa" w:w="2880"/>
          </w:tcPr>
          <w:p>
            <w:r>
              <w:t>7</w:t>
            </w:r>
          </w:p>
        </w:tc>
      </w:tr>
      <w:tr>
        <w:tc>
          <w:tcPr>
            <w:tcW w:type="dxa" w:w="2880"/>
          </w:tcPr>
          <w:p>
            <w:r>
              <w:t>85702</w:t>
            </w:r>
          </w:p>
        </w:tc>
        <w:tc>
          <w:tcPr>
            <w:tcW w:type="dxa" w:w="2880"/>
          </w:tcPr>
          <w:p>
            <w:r>
              <w:t>57.4</w:t>
            </w:r>
          </w:p>
        </w:tc>
        <w:tc>
          <w:tcPr>
            <w:tcW w:type="dxa" w:w="2880"/>
          </w:tcPr>
          <w:p>
            <w:r>
              <w:t>8</w:t>
            </w:r>
          </w:p>
        </w:tc>
      </w:tr>
      <w:tr>
        <w:tc>
          <w:tcPr>
            <w:tcW w:type="dxa" w:w="2880"/>
          </w:tcPr>
          <w:p>
            <w:r>
              <w:t>86049</w:t>
            </w:r>
          </w:p>
        </w:tc>
        <w:tc>
          <w:tcPr>
            <w:tcW w:type="dxa" w:w="2880"/>
          </w:tcPr>
          <w:p>
            <w:r>
              <w:t>53.86</w:t>
            </w:r>
          </w:p>
        </w:tc>
        <w:tc>
          <w:tcPr>
            <w:tcW w:type="dxa" w:w="2880"/>
          </w:tcPr>
          <w:p>
            <w:r>
              <w:t>9</w:t>
            </w:r>
          </w:p>
        </w:tc>
      </w:tr>
      <w:tr>
        <w:tc>
          <w:tcPr>
            <w:tcW w:type="dxa" w:w="2880"/>
          </w:tcPr>
          <w:p>
            <w:r>
              <w:t>86029</w:t>
            </w:r>
          </w:p>
        </w:tc>
        <w:tc>
          <w:tcPr>
            <w:tcW w:type="dxa" w:w="2880"/>
          </w:tcPr>
          <w:p>
            <w:r>
              <w:t>50.99</w:t>
            </w:r>
          </w:p>
        </w:tc>
        <w:tc>
          <w:tcPr>
            <w:tcW w:type="dxa" w:w="2880"/>
          </w:tcPr>
          <w:p>
            <w:r>
              <w:t>10</w:t>
            </w:r>
          </w:p>
        </w:tc>
      </w:tr>
    </w:tbl>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В соответствии с извещением о проведении закупки Заказчиком для оценки заявок участников закупки использованы следующие критерии оценки:</w:t>
      </w:r>
    </w:p>
    <w:p>
      <w:r>
        <w:t>- цена контракта, сумма цен единиц товара, работы, услуги;</w:t>
      </w:r>
    </w:p>
    <w:p>
      <w:r>
        <w:t>-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
        <w:t>Извещением об осуществлении закупки предусмотрены следующие положения:</w:t>
      </w:r>
    </w:p>
    <w:p>
      <w:r>
        <w:t>«Подпункт «в» пункта 24 Положения</w:t>
      </w:r>
    </w:p>
    <w:p>
      <w:r>
        <w:t>Комиссией будет оцениваться общая цена исполненных участником закупки договоров и наибольшая цена одного из исполненных участником закупки договоров, выполненных работ сопоставимого характера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Федеральным законом от 18.07.2011 г. № 223-ФЗ "О закупках товаров, работ, услуг отдельными видами юридических лиц"), последний акт составленный при исполнении рассматриваемого договора должен быть подписан не ранее чем за 5 лет до даты окончания срока подачи заявок.</w:t>
      </w:r>
    </w:p>
    <w:p>
      <w:r>
        <w:t>Применяются детализирующие показатели оценки: «Общая цена исполненных участником закупки договоров», перечень документов и требования к таким документам для оценки установлены п. 2.1.1 и «Наибольшая цена одного из исполненных участником закупки договоров», перечень документов и требования к таким документам для оценки установлены п. 2.1.2.</w:t>
      </w:r>
    </w:p>
    <w:p>
      <w:r>
        <w:t>Подпункт «а» пункта 28 Положения</w:t>
      </w:r>
    </w:p>
    <w:p>
      <w:r>
        <w:t>Требования к документам для оценки показателя:</w:t>
      </w:r>
    </w:p>
    <w:p>
      <w:r>
        <w:t>Наличие исполненного договора (договоров), предметом которого являются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Перечень документов, подтверждающих наличие у участника закупки опыта выполнения работ:</w:t>
      </w:r>
    </w:p>
    <w:p>
      <w:r>
        <w:t>1) исполненный договор (договоры);</w:t>
      </w:r>
    </w:p>
    <w:p>
      <w:r>
        <w:t>2) акт (акты) приемки поставленного товара, выполненных работ, оказанных услуг, составленные при исполнении такого договора (договоров);</w:t>
      </w:r>
    </w:p>
    <w:p>
      <w:r>
        <w:t>- последний акт, составленный при исполнении договора должен быть подписан не ранее чем за 5 лет до даты окончания срока подачи заявок;</w:t>
      </w:r>
    </w:p>
    <w:p>
      <w:r>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исключительно контракты, заключенные и исполненные в соответствии с Законом о контрактной системе,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r>
        <w:t>– К оценке принимаются документы в случае их представления в заявке в полном объеме и со всеми приложениями, в том числе если к ним не приложена проектная документация (если проектная документация является приложением к таким документам).</w:t>
      </w:r>
    </w:p>
    <w:p>
      <w:r>
        <w:t>Такие документы направляются в форме электронных документов или в форме электронных образов бумажных документов.</w:t>
      </w:r>
    </w:p>
    <w:p>
      <w:r>
        <w:t>К оценке принимается исключительно исполненный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Если документы, в соответствии с перечнем документов, подтверждающих наличие у участника закупки опыта выполнения работ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Каждый договор (контракт) должен быть исполнен участником закупки в полном объеме в соответствии с условиями, установленными в таком договоре (контракте).</w:t>
      </w:r>
    </w:p>
    <w:p>
      <w: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r>
        <w:t>Оценке не подлежат договоры (контракты), работы по которым продолжаются и (или) не выполнены (являются незавершенными).</w:t>
      </w:r>
    </w:p>
    <w:p>
      <w:r>
        <w:t>Отсутствие документов, подтверждающих квалификацию участников закупки, не является основанием для признания заявки на участие в конкурсе не соответствующей требованиям Закона. Участнику конкурса, не представившему указанные документы, баллы по заявке не присваиваются.</w:t>
      </w:r>
    </w:p>
    <w:p>
      <w:r>
        <w:t>Лучшим является наибольшее значение характеристики объекта закупки</w:t>
      </w:r>
    </w:p>
    <w:p>
      <w:r>
        <w:t>Подпункт «а» пункта 28 Положения</w:t>
      </w:r>
    </w:p>
    <w:p>
      <w:r>
        <w:t>Требования к документам для оценки показателя:</w:t>
      </w:r>
    </w:p>
    <w:p>
      <w:r>
        <w:t>Наличие исполненного договора (договоров), предметом которого являются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Перечень документов, подтверждающих наличие у участника закупки опыта выполнения работ:</w:t>
      </w:r>
    </w:p>
    <w:p>
      <w:r>
        <w:t>1) исполненный договор (договоры);</w:t>
      </w:r>
    </w:p>
    <w:p>
      <w:r>
        <w:t>2) акт (акты) приемки поставленного товара, выполненных работ, оказанных услуг, составленные при исполнении такого договора (договоров);</w:t>
      </w:r>
    </w:p>
    <w:p>
      <w:r>
        <w:t>- последний акт, составленный при исполнении договора должен быть подписан не ранее чем за 5 лет до даты окончания срока подачи заявок;</w:t>
      </w:r>
    </w:p>
    <w:p>
      <w:r>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исключительно контракты, заключенные и исполненные в соответствии с Законом о контрактной системе,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r>
        <w:t>– К оценке принимаются документы в случае их представления в заявке в полном объеме и со всеми приложениями, в том числе если к ним не приложена проектная документация (если проектная документация является приложением к таким документам).</w:t>
      </w:r>
    </w:p>
    <w:p>
      <w:r>
        <w:t>Такие документы направляются в форме электронных документов или в форме электронных образов бумажных документов.</w:t>
      </w:r>
    </w:p>
    <w:p>
      <w:r>
        <w:t>К оценке принимается исключительно исполненный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Если документы, в соответствии с перечнем документов, подтверждающих наличие у участника закупки опыта выполнения работ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Каждый договор (контракт) должен быть исполнен участником закупки в полном объеме в соответствии с условиями, установленными в таком договоре (контракте).</w:t>
      </w:r>
    </w:p>
    <w:p>
      <w: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r>
        <w:t>Оценке не подлежат договоры (контракты), работы по которым продолжаются и (или) не выполнены (являются незавершенными).</w:t>
      </w:r>
    </w:p>
    <w:p>
      <w:r>
        <w:t>Отсутствие документов, подтверждающих квалификацию участников закупки, не является основанием для признания заявки на участие в конкурсе не соответствующей требованиям Закона. Участнику конкурса, не представившему указанные документы, баллы по заявке не присваиваются.</w:t>
      </w:r>
    </w:p>
    <w:p>
      <w:r>
        <w:t>Лучшим является наибольшее значение характеристики объекта закупки».</w:t>
      </w:r>
    </w:p>
    <w:p>
      <w:r>
        <w:t>В соответствии с пп. «р»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в случае проведения электронного конкурса и установления критерия, предусмотренного п. 4 ч. 1 ст. 32 настоящего Федерального закона, заявка на участие в закупке может содержать документы, подтверждающие квалификацию участника закупки.</w:t>
      </w:r>
    </w:p>
    <w:p>
      <w:r>
        <w:t>Анализ протоколов размещенных в ЕИС показал, что Комиссией заказчика при первоначальном рассмотрении заявок не были учтены договоры/контракты в соответствии с требованиями документации о закупке согласно пояснениям, указанным комиссией в примечании в документе «Реестр неучтенных контрактов по заявке №3 (85950)».</w:t>
      </w:r>
    </w:p>
    <w:p>
      <w:r>
        <w:t>Участник с номером заявки 85950 не обжаловал первоначальный отказ комиссии заказчика в учете указанных выше договоров/контрактов при рассмотрении и оценке вторых частей заявок. Недостатки представленных в заявке 85950 документов (отсутствие приложений, несоответствие предмета и др.), не могли быть устранены при повторном рассмотрении заявок участников. Заказчик не привёл в повторных протоколах мотивированного обоснования, почему ранее отклонённые контракты могли стать допустимыми для оценки при неизменных требованиях извещения.</w:t>
      </w:r>
    </w:p>
    <w:p>
      <w:r>
        <w:t>Однако в ходе повторного рассмотрения заявок комиссия заказчика пересмотрела значения показателей заявки №85950, в результате чего значение по показателю «Общая цена исполненных участником закупки договоров» принято в расчете в сумме 373 698 808,66 руб., что на 64 445 568,23 руб. больше, чем в первоначальном протоколе.</w:t>
      </w:r>
    </w:p>
    <w:p>
      <w:r>
        <w:t>Таким образом, при повторном рассмотрении заявок и повторном подведении итогов в конкурентной процедуре Заказчиком проигнорированы требования извещения и собственные замечания, и заявке участника под номером 85950 необоснованно увеличено количество баллов.</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конкурсной комиссии Заказчика противоречат требованиям Закона о контрактной системе.</w:t>
      </w:r>
    </w:p>
    <w:p>
      <w:r>
        <w:t>Жалоба признана обоснованной.</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ООО «АВАНГАРД» обоснованной.</w:t>
      </w:r>
    </w:p>
    <w:p>
      <w:r>
        <w:t>2. Признать в действиях конкурсной комиссии Заказчика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9</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