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202600114959005907</w:t>
      </w:r>
    </w:p>
    <w:p>
      <w:r>
        <w:rPr>
          <w:b/>
        </w:rPr>
        <w:t xml:space="preserve">УФАС: </w:t>
      </w:r>
      <w:r>
        <w:t>УФАС по Санкт-Петербургу</w:t>
      </w:r>
    </w:p>
    <w:p>
      <w:r>
        <w:rPr>
          <w:b/>
        </w:rPr>
        <w:t xml:space="preserve">Дата решения: </w:t>
      </w:r>
      <w:r>
        <w:t>Опубликовано в ЕИС 18.05.2026 · в тексте решения — 19.05.2026</w:t>
      </w:r>
    </w:p>
    <w:p>
      <w:r>
        <w:rPr>
          <w:b/>
        </w:rPr>
        <w:t xml:space="preserve">Исход: </w:t>
      </w:r>
      <w:r>
        <w:t>обоснована</w:t>
      </w:r>
    </w:p>
    <w:p>
      <w:r>
        <w:rPr>
          <w:b/>
        </w:rPr>
        <w:t xml:space="preserve">Закупка №: </w:t>
      </w:r>
      <w:r>
        <w:t>0372200263426000685</w:t>
      </w:r>
    </w:p>
    <w:p>
      <w:r>
        <w:rPr>
          <w:b/>
        </w:rPr>
        <w:t xml:space="preserve">Заказчик: </w:t>
      </w:r>
      <w:r>
        <w:t>Санкт-Петербургское государственное бюджетное учреждение здравоохранения «Городская александровская больница»</w:t>
      </w:r>
    </w:p>
    <w:p>
      <w:r>
        <w:rPr>
          <w:b/>
        </w:rPr>
        <w:t xml:space="preserve">Заявитель: </w:t>
      </w:r>
      <w:r>
        <w:t>ООО «Ангиовижн»</w:t>
      </w:r>
    </w:p>
    <w:p>
      <w:r>
        <w:rPr>
          <w:b/>
        </w:rPr>
        <w:t xml:space="preserve">Первоисточник в ЕИС: </w:t>
      </w:r>
      <w:r>
        <w:t>https://zakupki.gov.ru/epz/complaint/card/complaint-information.html?complaintNumber=202600114959005907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АЛЕКСАНДРОВСКАЯ БОЛЬНИЦА"</w:t>
              <w:br/>
              <w:t>Российская Федерация, 193312, Санкт-Петербург, Солидарности, Д.4</w:t>
            </w:r>
          </w:p>
        </w:tc>
      </w:tr>
    </w:tbl>
    <w:p>
      <w:r>
        <w:t>ООО "АНГИОВИЖН"</w:t>
      </w:r>
    </w:p>
    <w:p>
      <w:r>
        <w:t>625000, ТЮМЕНСКАЯ ОБЛАСТЬ,</w:t>
      </w:r>
    </w:p>
    <w:p>
      <w:r>
        <w:t>г.о. ГОРОД ТЮМЕНЬ, Г ТЮМЕНЬ, УЛ НЕКРАСОВА, Д. 10, ЭТАЖ 6</w:t>
      </w:r>
    </w:p>
    <w:p>
      <w:r>
        <w:t>РЕШЕНИЕ</w:t>
      </w:r>
    </w:p>
    <w:p>
      <w:r>
        <w:t>по делу № 078/06/105-2067/2026</w:t>
      </w:r>
    </w:p>
    <w:p>
      <w:r>
        <w:t>о нарушении законодательства о контрактной системе</w:t>
      </w:r>
    </w:p>
    <w:p>
      <w:r>
        <w:t>19.05.2026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АЛЕКСАНДРОВСКАЯ БОЛЬНИЦА" (далее – Заказчик):</w:t>
      </w:r>
    </w:p>
    <w:p>
      <w:r>
        <w:t>ООО "АНГИОВИЖН" (далее – Заявитель):</w:t>
      </w:r>
    </w:p>
    <w:p>
      <w:pPr>
        <w:pStyle w:val="Heading2"/>
      </w:pPr>
      <w:r>
        <w:t>описательная часть</w:t>
      </w:r>
    </w:p>
    <w:p>
      <w:r>
        <w:t>рассмотрев посредством системы видеоконференцсвязи жалобу Заявителя (вх. № 10898/26 от 13.05.2026) на действия СПБ ГБУЗ "АЛЕКСАНДРОВСКАЯ БОЛЬНИЦА", (далее – Заказчик), при определении (подрядчика, исполнителя) путем проведения электронного аукциона на поставку изделий медицинского назначения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30.04.2026 в единой информационной системе, номер извещения 0372200263426000685. Начальная (максимальная) цена контракта – 4999990,00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обжалует описание объекта закупки. По мнению Заявителя, Заказчик установил совокупность характеристик медицинских проводников, которой соответствует продукция отдельных производителей, без возможности предложения эквивалентных изделий. Заявитель указывает, что спорные параметры не подтверждены объективной потребностью Заказчика и приводят к ограничению количества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Заказчика 18.05.2026 в целях полного и всестороннего рассмотрения жалобы объявлен перерыв, заседание продолжилось 19.05.2026.</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пункту 1 части 2 статьи 42 Закона о контрактной системе извещение должно содержать описание объекта закупки, сформированное в соответствии со статьей 33 Закона о контрактной системе.</w:t>
      </w:r>
    </w:p>
    <w:p>
      <w:r>
        <w:t>Пункт 1 части 1 статьи 33 указанного закона требует, чтобы описание объекта закупки носило объективный характер и содержало функциональные, технические, качественные и при необходимости эксплуатационные характеристики товара. При этом в описание объекта закупки не должны включаться требования, которые влекут ограничение количества участников закупки.</w:t>
      </w:r>
    </w:p>
    <w:p>
      <w:r>
        <w:t>Из смысла указанных норм следует, что Заказчик вправе определить необходимые характеристики медицинского изделия. Однако это право не является абсолютным. Характеристики должны описывать потребность Заказчика, а не воспроизводить совокупность признаков конкретной товарной линейки. Если совокупность параметров приводит к возможности поставки товара одного производителя, Заказчик должен доказать объективную необходимость именно такой совокупности.</w:t>
      </w:r>
    </w:p>
    <w:p>
      <w:r>
        <w:t>Постановлением Правительства Российской Федерации от 08.02.2017 № 145 установлены правила использования КТРУ. Заказчик обязан использовать сведения соответствующей позиции каталога, а при указании дополнительных характеристик обязан соблюдать статью 33 Закона о контрактной системе. Само применение позиции КТРУ не освобождает Заказчика от запрета ограничивать количество участников закупки.</w:t>
      </w:r>
    </w:p>
    <w:p>
      <w:r>
        <w:t>Извещение содержит несколько позиций одного товара с различными идентификаторами и с разными наборами характеристик.</w:t>
      </w:r>
    </w:p>
    <w:p>
      <w:r>
        <w:t>По позиции с идентификатором 213142716 Заказчик установил, в частности, следующие характеристики: внешний диаметр проводника от 0,32 до 0,37 мм; уровень допустимой нагрузки на дистальный конец проводника от 4,7 до 18,0 г; протяженность гидрофильного покрытия не менее 29,5 см.</w:t>
      </w:r>
    </w:p>
    <w:p>
      <w:r>
        <w:t>Описательные характеристики включают эффективную длину 180-190 см и 300 см по заявке Заказчика, материал ядра проводника - нитинол или нержавеющая сталь, наличие сужающегося дистального конца и гидрофильного покрытия. В графе обоснования включения дополнительной информации стоит прочерк.</w:t>
      </w:r>
    </w:p>
    <w:p>
      <w:r>
        <w:t>Заявитель представил сравнительную таблицу медицинских проводников и указал, что совокупности таких характеристик соответствует проводник Abbott Cross IT 200 XT / 300 XT / 400 XT. В таблице Заявитель сопоставил изделия Abbott, ASAHI, Boston Scientific, Medtronic по жесткости кончика, длине, материалу сердечника, покрытию дистальной части и оболочке. По позиции Заявителя, иные изделия не соответствуют именно совокупности требований, в том числе из-за протяженности гидрофильного покрытия.</w:t>
      </w:r>
    </w:p>
    <w:p>
      <w:r>
        <w:t>По позиции с идентификатором 213142721 Заказчик установил характеристики: материал сердечника - нержавеющая сталь; диаметр проводника 0,014 дюйм; длина от 180 до 190 см и 300 см по заявке Заказчика; нагрузка на кончик 0,8 г; конфигурации кончика - прямой, изогнутый по заявке Заказчика; рентгеноконтрастный кончик не менее 3 см.</w:t>
      </w:r>
    </w:p>
    <w:p>
      <w:r>
        <w:t>Заявитель указывает, что указанной совокупности параметров соответствует проводник SAVION производства Boston Scientific Corporation. Инструкция по применению проводника SAVION подтверждает наличие вариантов исполнения с номинальным диаметром 0,014 дюйма, длиной 182, 185 и 300 см, гидрофильным покрытием ICE, а также различными формами кончика.</w:t>
      </w:r>
    </w:p>
    <w:p>
      <w:r>
        <w:t>По позиции с идентификатором 213142722 Заказчик установил характеристики: монолитный сердечник от проксимального до дистального кончика; диаметр 0,014 дюйм; длина от 180 до 190 см и 300 см по заявке Заказчика; форма кончика - прямой; варианты длин гибкого рентгеноконтрастного кончика не менее 30 мм; жесткость кончика от 0,9 до 1 г.</w:t>
      </w:r>
    </w:p>
    <w:p>
      <w:r>
        <w:t>Заявитель также указывает, что под спорные параметры мог бы подходить проводник Thruway производства Lake Region Medical, однако инструкция производителя содержит сведения о сердечнике только из нержавеющей стали, что не позволяет подтвердить соответствие всем установленным Заказчиком параметрам.</w:t>
      </w:r>
    </w:p>
    <w:p>
      <w:r>
        <w:t>Комиссия УФАС оценивает не отдельные параметры изолированно, а их совокупность. Сам по себе диаметр 0,014 дюйм, наличие гидрофильного покрытия, определенная длина или рентгеноконтрастный кончик могут быть объективно связаны с медицинской потребностью. Однако спор возникает тогда, когда несколько параметров объединены так, что рынок фактически сводится к одному изделию или одной товарной линейке.</w:t>
      </w:r>
    </w:p>
    <w:p>
      <w:r>
        <w:t>Именно такая ситуация установлена по материалам дела.</w:t>
      </w:r>
    </w:p>
    <w:p>
      <w:r>
        <w:t>Заказчик не представил проверяемых доказательств того, что каждое спорное значение и вся совокупность параметров обусловлены объективной медицинской потребностью. В материалах дела отсутствуют клиническое обоснование, заключение профильных специалистов, решение врачебной комиссии, сведения о совместимости с имеющимся оборудованием, стандарты оказания медицинской помощи либо иные документы, подтверждающие необходимость закупки изделий именно с указанной комбинацией характеристик.</w:t>
      </w:r>
    </w:p>
    <w:p>
      <w:r>
        <w:t>Наличие у Заказчика потребности в медицинских проводниках не оспаривается. Но потребность в товаре как таковом не равна потребности в совокупности параметров, совпадающей с продукцией конкретного производителя.</w:t>
      </w:r>
    </w:p>
    <w:p>
      <w:r>
        <w:t>Если Заказчику необходим проводник для доступа к коронарным или периферическим сосудам, он должен описывать медицински значимый результат: назначение, совместимость, безопасность применения, допустимые размеры, функциональные свойства, необходимые для выполнения процедуры. Заказчик не вправе без доказательств закреплять частные конструктивные решения конкретного производителя как обязательные условия поставки.</w:t>
      </w:r>
    </w:p>
    <w:p>
      <w:r>
        <w:t>Комиссия УФАС учитывает, что в извещении по спорным позициям в графе обоснования включения дополнительной информации указаны прочерки. Это означает, что Заказчик не раскрыл в самом извещении связь спорных дополнительных характеристик с объективной потребностью.</w:t>
      </w:r>
    </w:p>
    <w:p>
      <w:r>
        <w:t>Доводы Заявителя подтверждены сравнительным анализом медицинских изделий и инструкциями по применению. Заказчик такие доводы не опроверг.</w:t>
      </w:r>
    </w:p>
    <w:p>
      <w:r>
        <w:t>В материалы дела не представлены сведения о наличии на рынке нескольких независимых производителей, товары которых соответствуют спорной совокупности характеристик. Не представлены и доказательства того, что товары с отличающимися характеристиками не обеспечивают достижение медицинского результата.</w:t>
      </w:r>
    </w:p>
    <w:p>
      <w:r>
        <w:t>При таких обстоятельствах ссылка на право Заказчика определить объект закупки не может быть принята. Это право реализуется в пределах статьи 33 Закона о контрактной системе и принципа обеспечения конкуренции. Заказчик вправе требовать качество, безопасность и функциональность. Но он обязан доказать, почему именно спорная комбинация конструктивных характеристик необходима для оказания медицинской помощи.</w:t>
      </w:r>
    </w:p>
    <w:p>
      <w:r>
        <w:t>Комиссия УФАС также отмечает, что отсутствие в описании объекта закупки прямого указания на товарный знак не исключает нарушения. Ограничение может возникать не только через наименование производителя, но и через совокупность параметров, которая фактически идентифицирует товар конкретного изготовителя.</w:t>
      </w:r>
    </w:p>
    <w:p>
      <w:r>
        <w:t>Формальное использование диапазонов также не устраняет нарушение. Если диапазоны подобраны так, что в совокупности им соответствует одно изделие, описание объекта закупки перестает быть технологически нейтральным. Оно превращается в фильтр допуска.</w:t>
      </w:r>
    </w:p>
    <w:p>
      <w:r>
        <w:t>Закон о контрактной системе не запрещает Заказчику приобретать качественные медицинские изделия. Но он запрещает формировать извещение так, чтобы добросовестные поставщики эквивалентных изделий были устранены из закупки без проверяемой причины.</w:t>
      </w:r>
    </w:p>
    <w:p>
      <w:r>
        <w:t>В рассматриваемом случае материалы дела подтверждают, что спорные положения извещения ограничивают возможность участия поставщиков иных медицинских проводников, зарегистрированных в установленном порядке и потенциально способных удовлетворить потребность Заказчика.</w:t>
      </w:r>
    </w:p>
    <w:p>
      <w:r>
        <w:t>Заказчиком не представлено объективных и проверяемых доказательств, опровергающих позицию Заявителя. Доводы Заказчика, если они сводятся к общей ссылке на медицинскую потребность, не подтверждают необходимость именно тех характеристик, которые оспорены Заявителем.</w:t>
      </w:r>
    </w:p>
    <w:p>
      <w:r>
        <w:t>Следовательно, описание объекта закупки в спорной части не соответствует пункту 1 части 1 статьи 33 Закона о контрактной системе, поскольку сформировано через совокупность характеристик, ограничивающую количество участников закупки.</w:t>
      </w:r>
    </w:p>
    <w:p>
      <w:r>
        <w:t>С учетом того, что описание объекта закупки размещается в составе извещения как обязательный электронный документ, указанное нарушение образует нарушение пункта 1 части 2 статьи 42 Закона о контрактной системе.</w:t>
      </w:r>
    </w:p>
    <w:p>
      <w:r>
        <w:t>Довод жалобы является обоснованным.</w:t>
      </w:r>
    </w:p>
    <w:p>
      <w:r>
        <w:t>Установленное нарушение является существенным. Оно допущено на стадии формирования извещения, влияет на круг потенциальных участников закупки, содержание заявок и результаты определения поставщика. Устранение нарушения возможно путем внесения изменений в извещение, переработки спорных характеристик и формирования описания объекта закупки через объективные, проверяемые и медицински обоснованные показатели, допускающие поставку эквивалентных изделий различных производителей.</w:t>
      </w:r>
    </w:p>
    <w:p>
      <w:pPr>
        <w:pStyle w:val="Heading2"/>
      </w:pPr>
      <w:r>
        <w:t>мотивировочная часть</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"АНГИОВИЖН" обоснованной.</w:t>
      </w:r>
    </w:p>
    <w:p>
      <w:r>
        <w:t>2. Признать в действиях Заказчика нарушение пункта 1 части 2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19.05.2026 по делу № 078/06/105-2067/2026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АЛЕКСАНДРОВСКАЯ БОЛЬНИЦА"</w:t>
              <w:br/>
              <w:t>Российская Федерация, 193312, Санкт-Петербург, Солидарности, Д.4</w:t>
            </w:r>
          </w:p>
        </w:tc>
      </w:tr>
    </w:tbl>
    <w:p>
      <w:r>
        <w:t>ООО "АНГИОВИЖН"</w:t>
      </w:r>
    </w:p>
    <w:p>
      <w:r>
        <w:t>625000, ТЮМЕНСКАЯ ОБЛАСТЬ,</w:t>
      </w:r>
    </w:p>
    <w:p>
      <w:r>
        <w:t>г.о. ГОРОД ТЮМЕНЬ, Г ТЮМЕНЬ, УЛ НЕКРАСОВА, Д. 10, ЭТАЖ 6</w:t>
      </w:r>
    </w:p>
    <w:p>
      <w:r>
        <w:t>ПРЕДПИСАНИЕ</w:t>
      </w:r>
    </w:p>
    <w:p>
      <w:r>
        <w:t>по делу № 078/06/105-2067/2026</w:t>
      </w:r>
    </w:p>
    <w:p>
      <w:r>
        <w:t>об устранении нарушений законодательства о контрактной системе</w:t>
      </w:r>
    </w:p>
    <w:p>
      <w:r>
        <w:t>19.05.2026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078/06/105-2067/2026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"АЛЕКСАНДРОВСКАЯ БОЛЬНИЦА" и его комиссии устранить нарушение п. 1 ч. 2 ст. 42 Закона о контрактной системе и с этой целью:</w:t>
      </w:r>
    </w:p>
    <w:p>
      <w:r>
        <w:t>- отменить протокол подведения итогов определения поставщика (подрядчика, исполнителя) от 18.05.2026 №ИЭА1, составленный в ходе проведения электронного аукциона с номером реестровым номером закупки 0372200263426000685;</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0372200263426000685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19.06.2026 на адрес электронной почты: to78@fas.gov.ru.</w:t>
      </w:r>
    </w:p>
    <w:p>
      <w:r>
        <w:t>3. Оператору электронной площадки – РОСЭЛТОРГ (АО«ЕЭТП»):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