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202600114959006434</w:t>
      </w:r>
    </w:p>
    <w:p>
      <w:r>
        <w:rPr>
          <w:b/>
        </w:rPr>
        <w:t xml:space="preserve">УФАС: </w:t>
      </w:r>
      <w:r>
        <w:t>УФАС по Санкт-Петербургу</w:t>
      </w:r>
    </w:p>
    <w:p>
      <w:r>
        <w:rPr>
          <w:b/>
        </w:rPr>
        <w:t xml:space="preserve">Дата решения: </w:t>
      </w:r>
      <w:r>
        <w:t>Опубликовано в ЕИС 27.05.2026 · в тексте решения — 29.05.2026</w:t>
      </w:r>
    </w:p>
    <w:p>
      <w:r>
        <w:rPr>
          <w:b/>
        </w:rPr>
        <w:t xml:space="preserve">Исход: </w:t>
      </w:r>
      <w:r>
        <w:t>обоснована</w:t>
      </w:r>
    </w:p>
    <w:p>
      <w:r>
        <w:rPr>
          <w:b/>
        </w:rPr>
        <w:t xml:space="preserve">Закупка №: </w:t>
      </w:r>
      <w:r>
        <w:t>0372200107626000002</w:t>
      </w:r>
    </w:p>
    <w:p>
      <w:r>
        <w:rPr>
          <w:b/>
        </w:rPr>
        <w:t xml:space="preserve">Заказчик: </w:t>
      </w:r>
      <w:r>
        <w:t>Государственное бюджетное общеобразовательное учреждение гимназия № 155 Центрального района Санкт-Петербурга</w:t>
      </w:r>
    </w:p>
    <w:p>
      <w:r>
        <w:rPr>
          <w:b/>
        </w:rPr>
        <w:t xml:space="preserve">Заявитель: </w:t>
      </w:r>
      <w:r>
        <w:t>ООО «Позитроника»</w:t>
      </w:r>
    </w:p>
    <w:p>
      <w:r>
        <w:rPr>
          <w:b/>
        </w:rPr>
        <w:t xml:space="preserve">Первоисточник в ЕИС: </w:t>
      </w:r>
      <w:r>
        <w:t>https://zakupki.gov.ru/epz/complaint/card/complaint-information.html?complaintNumber=202600114959006434</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t>left000</w:t>
            </w:r>
          </w:p>
        </w:tc>
        <w:tc>
          <w:tcPr>
            <w:tcW w:type="dxa" w:w="4320"/>
          </w:tcPr>
          <w:p>
            <w:r>
              <w:t>ГОСУДАРСТВЕННОЕ БЮДЖЕТНОЕ ОБЩЕОБРАЗОВАТЕЛЬНОЕ УЧРЕЖДЕНИЕ ГИМНАЗИЯ № 155 ЦЕНТРАЛЬНОГО РАЙОНА САНКТ-ПЕТЕРБУРГА</w:t>
              <w:br/>
              <w:t>Российская Федерация, 191036, Санкт-Петербург, Греческий пр-кт, Д. 21 ЛИТЕРА А, Б, Г</w:t>
            </w:r>
          </w:p>
        </w:tc>
      </w:tr>
    </w:tbl>
    <w:p>
      <w:r>
        <w:t>ООО «ПОЗИТРОНИКА»</w:t>
      </w:r>
    </w:p>
    <w:p>
      <w:r>
        <w:t>160011, ВОЛОГОДСКАЯ ОБЛАСТЬ, Г. ВОЛОГДА, УЛ. ГЕРЦЕНА, Д. 45, КВ. 1</w:t>
      </w:r>
    </w:p>
    <w:p>
      <w:r>
        <w:t>РЕШЕНИЕ</w:t>
      </w:r>
    </w:p>
    <w:p>
      <w:r>
        <w:t>по делу № 078/06/105-2242/2026</w:t>
      </w:r>
    </w:p>
    <w:p>
      <w:r>
        <w:t>о нарушении законодательства о контрактной системе</w:t>
      </w:r>
    </w:p>
    <w:p>
      <w:r>
        <w:t>29.05.2026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ГОСУДАРСТВЕННОЕ БЮДЖЕТНОЕ ОБЩЕОБРАЗОВАТЕЛЬНОЕ УЧРЕЖДЕНИЕ ГИМНАЗИЯ № 155 ЦЕНТРАЛЬНОГО РАЙОНА САНКТ-ПЕТЕРБУРГА (далее – Заказчик);</w:t>
      </w:r>
    </w:p>
    <w:p>
      <w:r>
        <w:t>ООО «ПОЗИТРОНИКА» (далее – Заявитель);</w:t>
      </w:r>
    </w:p>
    <w:p>
      <w:pPr>
        <w:pStyle w:val="Heading2"/>
      </w:pPr>
      <w:r>
        <w:t>описательная часть</w:t>
      </w:r>
    </w:p>
    <w:p>
      <w:r>
        <w:t>рассмотрев посредством системы видеоконференцсвязи жалобу Заявителя (вх. № 11810/26 от 22.05.2026) на действия комиссии по осуществлению закупок Заказчика при определении (подрядчика, исполнителя) путем проведения электронного аукциона на техники и оборудования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04.05.2026 на Официальном сайте Единой информационной системы в сфере закупок www.zakupki.gov.ru (далее – ЕИС), номер извещения 0372200107626000002. Начальная (максимальная) цена контракта – 1 136 792,82 рубля.</w:t>
      </w:r>
    </w:p>
    <w:p>
      <w:r>
        <w:t>В жалобе Заявитель указывает на возможные неправомерные действия комиссии по осуществлению закупок Заказчика, выразившиеся, по мнению Заявителя, в неправомерном применении национального режима.</w:t>
      </w:r>
    </w:p>
    <w:p>
      <w:r>
        <w:t>Заказчик с доводами жалобы не согласен и считает ее необоснованной.</w:t>
      </w:r>
    </w:p>
    <w:p>
      <w:r>
        <w:t>Информация, изложенная в жалобе, опубликованная в ЕИС,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Согласно ч. 1 ст. 49 Закона о контрактной системе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"м" - "п" пункта 1, подпунктами "а" - "в" пункта 2, пунктом 5 части 1 статьи 43 настоящего Федерального закона. Заявка также может содержать информацию и документы, предусмотренные подпунктом "д" пункта 2 части 1 статьи 43 настоящего Федерального закона.</w:t>
      </w:r>
    </w:p>
    <w:p>
      <w:r>
        <w:t>В соответствии с ч. 5 ст.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12. ст.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Протокол подведения итогов определения поставщика (подрядчика, исполнителя) от 20.05.2026 №ИЭА1 содержит, в том числе следующее:</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Номер заявки</w:t>
            </w:r>
          </w:p>
        </w:tc>
        <w:tc>
          <w:tcPr>
            <w:tcW w:type="dxa" w:w="2160"/>
          </w:tcPr>
          <w:p>
            <w:r>
              <w:t>Порядковый номер</w:t>
            </w:r>
          </w:p>
        </w:tc>
        <w:tc>
          <w:tcPr>
            <w:tcW w:type="dxa" w:w="2160"/>
          </w:tcPr>
          <w:p>
            <w:r>
              <w:t>Решение о соответствии заявки требованиям, установленным в извещении, или об отклонении заявки</w:t>
            </w:r>
          </w:p>
        </w:tc>
        <w:tc>
          <w:tcPr>
            <w:tcW w:type="dxa" w:w="2160"/>
          </w:tcPr>
          <w:p>
            <w:r>
              <w:t>Обоснование решения об отклонении заявки с указанием положений Закона №44-ФЗ, извещения, которым не соответствует такая заявка, положений заявки, которые не соответствуют требованиям, установленным в извещении</w:t>
            </w:r>
          </w:p>
        </w:tc>
      </w:tr>
      <w:tr>
        <w:tc>
          <w:tcPr>
            <w:tcW w:type="dxa" w:w="2160"/>
          </w:tcPr>
          <w:p>
            <w:r>
              <w:t>2379606</w:t>
            </w:r>
          </w:p>
        </w:tc>
        <w:tc>
          <w:tcPr>
            <w:tcW w:type="dxa" w:w="2160"/>
          </w:tcPr>
          <w:p>
            <w:r>
              <w:t>1</w:t>
            </w:r>
          </w:p>
        </w:tc>
        <w:tc>
          <w:tcPr>
            <w:tcW w:type="dxa" w:w="2160"/>
          </w:tcPr>
          <w:p>
            <w:r>
              <w:t>Соответствует</w:t>
            </w:r>
          </w:p>
        </w:tc>
        <w:tc>
          <w:tcPr>
            <w:tcW w:type="dxa" w:w="2160"/>
          </w:tcPr>
          <w:p>
            <w:r/>
          </w:p>
        </w:tc>
      </w:tr>
      <w:tr>
        <w:tc>
          <w:tcPr>
            <w:tcW w:type="dxa" w:w="2160"/>
          </w:tcPr>
          <w:p>
            <w:r>
              <w:t>2378914</w:t>
            </w:r>
          </w:p>
        </w:tc>
        <w:tc>
          <w:tcPr>
            <w:tcW w:type="dxa" w:w="2160"/>
          </w:tcPr>
          <w:p>
            <w:r>
              <w:t>2</w:t>
            </w:r>
          </w:p>
        </w:tc>
        <w:tc>
          <w:tcPr>
            <w:tcW w:type="dxa" w:w="2160"/>
          </w:tcPr>
          <w:p>
            <w:r>
              <w:t>Соответствует</w:t>
            </w:r>
          </w:p>
        </w:tc>
        <w:tc>
          <w:tcPr>
            <w:tcW w:type="dxa" w:w="2160"/>
          </w:tcPr>
          <w:p>
            <w:r/>
          </w:p>
        </w:tc>
      </w:tr>
      <w:tr>
        <w:tc>
          <w:tcPr>
            <w:tcW w:type="dxa" w:w="2160"/>
          </w:tcPr>
          <w:p>
            <w:r>
              <w:t>2379125</w:t>
            </w:r>
          </w:p>
        </w:tc>
        <w:tc>
          <w:tcPr>
            <w:tcW w:type="dxa" w:w="2160"/>
          </w:tcPr>
          <w:p>
            <w:r>
              <w:t>3</w:t>
            </w:r>
          </w:p>
        </w:tc>
        <w:tc>
          <w:tcPr>
            <w:tcW w:type="dxa" w:w="2160"/>
          </w:tcPr>
          <w:p>
            <w:r>
              <w:t>Соответствует</w:t>
            </w:r>
          </w:p>
        </w:tc>
        <w:tc>
          <w:tcPr>
            <w:tcW w:type="dxa" w:w="2160"/>
          </w:tcPr>
          <w:p>
            <w:r/>
          </w:p>
        </w:tc>
      </w:tr>
    </w:tbl>
    <w:p>
      <w:r>
        <w:t>Согласно ч. 2 ст. 14 Закона о контрактной системе Правительство Российской Федерации:</w:t>
      </w:r>
    </w:p>
    <w:p>
      <w:r>
        <w:t>1) вправе с учетом положений части 3 настоящей статьи принимать меры, устанавливающие:</w:t>
      </w:r>
    </w:p>
    <w:p>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устанавливает, что при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Согласно п.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
        <w:t>д)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
        <w:t>е)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
        <w:t>ж)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
        <w:t>з)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не указанных в позициях 1 - 146 приложения N 1 к настоящему постановлению, позициях 1 - 433 приложения N 2 к настоящему постановлению;</w:t>
      </w:r>
    </w:p>
    <w:p>
      <w:r>
        <w:t>для подтверждения происхождения товаров из Российской Федерации, указанных в позициях 1 - 433 приложения N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настоящего постановления или при осуществлении в соответствии с Федеральным законом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и) при осуществлении закупок в рамках государственного оборонного заказа товара, не относящегося к товарам, указанным в позициях 1 - 146 приложения N 1 к настоящему постановлению, позициях 1 - 433 приложения N 2 к настоящему постановлению,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"О1",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"О1" и (или) указанных в конструкторской документации на такие составные части, в дополнение к информации, предусмотренной подпунктом "з" настоящего пункта, - информация и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r>
        <w:t>Согласно пп. «т» п. 4 Постановления № 1875, при осуществлении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закупок товаров, указанных в позициях 195, 197 - 199 и 203 приложения N 2 к настоящему постановлению,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w:t>
      </w:r>
    </w:p>
    <w:p>
      <w:r>
        <w:t>Согласно п. 5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Так, Комиссия УФАС отмечает, что заявки на участие в закупке содержали различные уровни радиоэлектронной продукции, что подразумевало необходимость руководствоваться пп. «т» п. 4 Постановления № 1875.</w:t>
      </w:r>
    </w:p>
    <w:p>
      <w:r>
        <w:t>Следовательно, в действиях комиссии по осуществлению закупок находятся признаки нарушения ч. 5 ст. 49 Закона о контрактной системе.</w:t>
      </w:r>
    </w:p>
    <w:p>
      <w:pPr>
        <w:pStyle w:val="Heading2"/>
      </w:pPr>
      <w:r>
        <w:t>мотивировочная часть</w:t>
      </w:r>
    </w:p>
    <w:p>
      <w:r>
        <w:t>Комиссия УФАС, руководствуясь ст. 2, 8, 33, 42, 49, 99, 105, 106 Закона о контрактной системе,</w:t>
      </w:r>
    </w:p>
    <w:p>
      <w:pPr>
        <w:pStyle w:val="Heading2"/>
      </w:pPr>
      <w:r>
        <w:t>резолютивная часть</w:t>
      </w:r>
    </w:p>
    <w:p>
      <w:r>
        <w:t>РЕШИЛА:</w:t>
      </w:r>
    </w:p>
    <w:p>
      <w:r>
        <w:t>1. Признать жалобу ООО «ПОЗИТРОНИКА» обоснованной.</w:t>
      </w:r>
    </w:p>
    <w:p>
      <w:r>
        <w:t>2. Признать в действиях Заказчика нарушение пп. «а» п. 1 ч. 5 ст. 49 Закона о контрактной системе.</w:t>
      </w:r>
    </w:p>
    <w:p>
      <w:r>
        <w:t>3. Выдать Заказчику, его комиссии по осуществлению закупок и оператору электронной площадки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 Заказчика.</w:t>
      </w:r>
    </w:p>
    <w:p>
      <w:r>
        <w:t>Настоящее решение может быть обжаловано в судебном порядке в течение трёх месяцев со дня принятия.</w:t>
      </w:r>
    </w:p>
    <w:tbl>
      <w:tblPr>
        <w:tblStyle w:val="TableGrid"/>
        <w:tblW w:type="auto" w:w="0"/>
        <w:tblLook w:firstColumn="1" w:firstRow="1" w:lastColumn="0" w:lastRow="0" w:noHBand="0" w:noVBand="1" w:val="04A0"/>
      </w:tblPr>
      <w:tblGrid>
        <w:gridCol w:w="4320"/>
        <w:gridCol w:w="4320"/>
      </w:tblGrid>
      <w:tr>
        <w:tc>
          <w:tcPr>
            <w:tcW w:type="dxa" w:w="4320"/>
          </w:tcPr>
          <w:p>
            <w:r>
              <w:t>left000</w:t>
            </w:r>
          </w:p>
        </w:tc>
        <w:tc>
          <w:tcPr>
            <w:tcW w:type="dxa" w:w="4320"/>
          </w:tcPr>
          <w:p>
            <w:r>
              <w:t>ГОСУДАРСТВЕННОЕ БЮДЖЕТНОЕ ОБЩЕОБРАЗОВАТЕЛЬНОЕ УЧРЕЖДЕНИЕ ГИМНАЗИЯ № 155 ЦЕНТРАЛЬНОГО РАЙОНА САНКТ-ПЕТЕРБУРГА</w:t>
              <w:br/>
              <w:t>Российская Федерация, 191036, Санкт-Петербург, Греческий пр-кт, Д. 21 ЛИТЕРА А, Б, Г</w:t>
            </w:r>
          </w:p>
        </w:tc>
      </w:tr>
    </w:tbl>
    <w:p>
      <w:r>
        <w:t>ООО «ПОЗИТРОНИКА»</w:t>
      </w:r>
    </w:p>
    <w:p>
      <w:r>
        <w:t>160011, ВОЛОГОДСКАЯ ОБЛАСТЬ, Г. ВОЛОГДА, УЛ. ГЕРЦЕНА, Д. 45, КВ. 1</w:t>
      </w:r>
    </w:p>
    <w:p>
      <w:r>
        <w:t>ПРЕДПИСАНИЕ</w:t>
      </w:r>
    </w:p>
    <w:p>
      <w:r>
        <w:t>по делу № 078/06/105-2242/2026</w:t>
      </w:r>
    </w:p>
    <w:p>
      <w:r>
        <w:t>об устранении нарушений законодательства о контрактной системе</w:t>
      </w:r>
    </w:p>
    <w:p>
      <w:r>
        <w:t>29.05.2026 Санкт-Петербург</w:t>
      </w:r>
    </w:p>
    <w:p>
      <w:r>
        <w:t>Комиссия Санкт-Петербургского УФАС России по контролю в сфере размещения заказов (далее – Комиссия УФАС)</w:t>
      </w:r>
    </w:p>
    <w:p>
      <w:r>
        <w:t>на основании своего решения по делу № 078/06/105-2242/2026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ГОСУДАРСТВЕННОЕ БЮДЖЕТНОЕ ОБЩЕОБРАЗОВАТЕЛЬНОЕ УЧРЕЖДЕНИЕ ГИМНАЗИЯ № 155 ЦЕНТРАЛЬНОГО РАЙОНА САНКТ-ПЕТЕРБУРГА – и его комиссии по осуществлению закупок – в течение 7-ми дней с момента размещения настоящего предписания в единой информационной системе устранить нарушение пп. «а» п. 1 ч. 5 ст. 49 Закона о контрактной системе и с этой целью:</w:t>
      </w:r>
    </w:p>
    <w:p>
      <w:r>
        <w:t>- отменить протокол подведения итогов определения поставщика (подрядчика, исполнителя), составленный в ходе проведения аукциона (извещение № 0372200107626000002);</w:t>
      </w:r>
    </w:p>
    <w:p>
      <w:r>
        <w:t>- назначить новую дату рассмотрения заявок на участие в закупке, дату подведения итогов, а также разместить соответствующую информацию в единой информационной системе в сфере закупок, в том числе информацию об отмене Протокола (-ов). При этом дата подведения итогов закупки должна быть назначена не ранее чем через 4 рабочих дня со дня отмены Протокола (-ов).</w:t>
      </w:r>
    </w:p>
    <w:p>
      <w:r>
        <w:t>- повторно рассмотреть заявки, поданные на участие в аукционе (извещение № 0372200107626000002),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0372200107626000002) в соответствии с законодательством о контрактной системе.</w:t>
      </w:r>
    </w:p>
    <w:p>
      <w:r>
        <w:t>2. Заказчику, комиссии по осуществлению закупок в срок до 10.07.2026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АГЗ РТ:</w:t>
      </w:r>
    </w:p>
    <w:p>
      <w:r>
        <w:t>- уведомить участников закупки, подавших заявки на участие в закупке, в том числе Заявителя, об отмене Протокола (-ов), о новой дате рассмотрения заявок на участие в закупке, дате подведения итогов на участие в закупке, а также о необходимости наличия на счетах для проведения операций по обеспечению участия в закупке денежных средств в размере обеспечения заявки на участие в закупке, о блокировании операций в отношении указанных средств, в случае если в их отношении блокирование прекращено либо о необходимости наличия у участника закупки независимой гарантии, соответствующей требованиям Закона о контрактной системе;</w:t>
      </w:r>
    </w:p>
    <w:p>
      <w:r>
        <w:t>- обеспечить Заказчику и его комиссии по осуществлению закупок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