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202600114959006648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01.06.2026 · в тексте решения — 02.06.2026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0172200000426000033</w:t>
      </w:r>
    </w:p>
    <w:p>
      <w:r>
        <w:rPr>
          <w:b/>
        </w:rPr>
        <w:t xml:space="preserve">Заказчик: </w:t>
      </w:r>
      <w:r>
        <w:t>Администрация Московского района Санкт-Петербурга</w:t>
      </w:r>
    </w:p>
    <w:p>
      <w:r>
        <w:rPr>
          <w:b/>
        </w:rPr>
        <w:t xml:space="preserve">Заявитель: </w:t>
      </w:r>
      <w:r>
        <w:t>ООО «Мерадом»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https://zakupki.gov.ru/epz/complaint/card/complaint-information.html?complaintNumber=202600114959006648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МОСКОВСКОГО РАЙОНА</w:t>
              <w:br/>
              <w:t>САНКТ-ПЕТЕРБУРГА</w:t>
              <w:br/>
              <w:t>Российская Федерация, 196084, Санкт-Петербург, ПР-КТ МОСКОВСКИЙ, 129</w:t>
            </w:r>
          </w:p>
        </w:tc>
      </w:tr>
    </w:tbl>
    <w:p>
      <w:r>
        <w:t>ГОСУДАРСТВЕННОЕ БЮДЖЕТНОЕ ОБЩЕОБРАЗОВАТЕЛЬНОЕ УЧРЕЖДЕНИЕ ШКОЛА № 613 МОСКОВСКОГО РАЙОНА</w:t>
      </w:r>
    </w:p>
    <w:p>
      <w:r>
        <w:t>САНКТ-ПЕТЕРБУРГА</w:t>
      </w:r>
    </w:p>
    <w:p>
      <w:r>
        <w:t>Российская Федерация, 196066, г Санкт-Петербург, вн.тер.г. муниципальный округ Пулковский меридиан, пр-кт Московский, д. 203 литера А,</w:t>
      </w:r>
    </w:p>
    <w:p>
      <w:r>
        <w:t>ООО "МЕРАДОМ"</w:t>
      </w:r>
    </w:p>
    <w:p>
      <w:r>
        <w:t>199155, Г.САНКТ-ПЕТЕРБУРГ, вн.тер.г. МУНИЦИПАЛЬНЫЙ ОКРУГ ОСТРОВ ДЕКАБРИСТОВ, ПР-КТ КИМА, Д. 4, ЛИТЕРА А, ПОМЕЩ. 35Н, ОФИС 2</w:t>
      </w:r>
    </w:p>
    <w:p>
      <w:r>
        <w:t>РЕШЕНИЕ</w:t>
      </w:r>
    </w:p>
    <w:p>
      <w:r>
        <w:t>по делу № 078/06/105-2319/2026</w:t>
      </w:r>
    </w:p>
    <w:p>
      <w:r>
        <w:t>о нарушении законодательства о контрактной системе</w:t>
      </w:r>
    </w:p>
    <w:p>
      <w:r>
        <w:t>02.06.2026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ГОСУДАРСТВЕННОЕ БЮДЖЕТНОЕ ОБЩЕОБРАЗОВАТЕЛЬНОЕ УЧРЕЖДЕНИЕ ШКОЛА № 613 МОСКОВСКОГО РАЙОНА САНКТ-ПЕТЕРБУРГА (далее – Заказчик):</w:t>
      </w:r>
    </w:p>
    <w:p>
      <w:r>
        <w:t>ООО "МЕРАДОМ" (далее — Заявитель):</w:t>
      </w:r>
    </w:p>
    <w:p>
      <w:r>
        <w:t>в отсутствие представителей АДМИНИСТРАЦИЯ МОСКОВСКОГО РАЙОНА САНКТ-ПЕТЕРБУРГА (далее – Уполномоченный орган),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12221/26 от 27.05.2026) на действия комиссии Уполномоченного органа, Заказчика при определении (подрядчика, исполнителя) путем проведения открытого конкурса в электронной форме на выполнение работ по капитальному ремонту фасада здания ГБОУ школа № 613 Московского района Санкт-Петербурга по адресу: г. Санкт-Петербург, пр. Московский д. 203 литера А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10.04.2026 в единой информационной системе, номер извещения 0172200000426000033. Начальная (максимальная) цена контракта – 27030490,00 рублей.</w:t>
      </w:r>
    </w:p>
    <w:p>
      <w:r>
        <w:t>В жалобе Заявитель указывает на неправомерные действия комиссии Уполномоченного органа,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обжалует действия конкурсной комиссии при оценке вторых частей заявок.</w:t>
      </w:r>
    </w:p>
    <w:p>
      <w:r>
        <w:t>По мнению Заявителя, конкурсная комиссия неправомерно учла при оценке заявки участника закупки с идентификационным номером № 54 договоры, не соответствующие порядку оценки, установленному извещением.</w:t>
      </w:r>
    </w:p>
    <w:p>
      <w:r>
        <w:t>Заявитель указывает, что по детализирующему показателю «Общее количество исполненных участником закупки договоров» к оценке могли приниматься только исполненные договоры на выполнение работ по строительству, реконструкции, капитальному ремонту объекта капитального строительства, за исключением линейного объекта.</w:t>
      </w:r>
    </w:p>
    <w:p>
      <w:r>
        <w:t>Вместе с тем, по позиции Заявителя, конкурсная комиссия при оценке заявки № 54 учла договоры, предметом которых является текущий ремонт, а также договоры, не подтверждающие исполнение работ в требуемом извещением объеме.</w:t>
      </w:r>
    </w:p>
    <w:p>
      <w:r>
        <w:t>Заявитель указывает, что согласно протоколу рассмотрения и оценки вторых частей заявок заявке № 119 присвоено 89,95 балла, заявке № 54 - 92,42 балла. При этом по критерию квалификации участнику № 119 учтено 160 исполненных договоров, а участнику № 54 - 212 исполненных договоров.</w:t>
      </w:r>
    </w:p>
    <w:p>
      <w:r>
        <w:t>По мнению Заявителя, ненадлежащий учет договоров участника № 54 повлиял на итоговый рейтинг заявок и результат определения подрядчика.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возражениях Заказчик указал, что довод о необоснованном зачете контрактов участнику № 54 не подтверждается материалами дела.</w:t>
      </w:r>
    </w:p>
    <w:p>
      <w:r>
        <w:t>По позиции Заказчика, контракты с реестровыми номерами 2781703389523000374, 2781703389523000372, 2781703389524000003 отсутствуют в составе заявки участника № 54, в связи с чем не могли быть учтены конкурсной комиссией при оценке.</w:t>
      </w:r>
    </w:p>
    <w:p>
      <w:r>
        <w:t>В отношении контрактов с реестровыми номерами 2781050609125000038, 2781050609124000058, 2781013136423000033, 2781013313922000015, 2781021521523000019 Заказчик указал, что данные контракты относятся к капитальному ремонту объектов капитального строительства, поскольку в рамках выполняемых работ предусмотрена замена и (или) восстановление инженерных систем.</w:t>
      </w:r>
    </w:p>
    <w:p>
      <w:r>
        <w:t>Заказчик сослался на положения Градостроительного кодекса Российской Федерации, согласно которым капитальный ремонт объектов капитального строительства включает замену и (или) восстановление строительных конструкций объектов капитального строительства, систем инженерно-технического обеспечения и сетей инженерно-технического обеспечения таких объектов либо их элементов.</w:t>
      </w:r>
    </w:p>
    <w:p>
      <w:r>
        <w:t>Также Заказчик указал, что аналогичным образом участнику с заявкой № 119 зачтено 160 контрактов.</w:t>
      </w:r>
    </w:p>
    <w:p>
      <w:r>
        <w:t>Кроме того, Заказчик представил сведения о финансовых показателях участника № 54 и указал, что сведения из заявки соответствуют финансовой отчетности участника.</w:t>
      </w:r>
    </w:p>
    <w:p>
      <w:r>
        <w:t>В ходе рассмотрения жалобы Заявителя на действия комиссии Уполномоченного органа, Заказчика 01.06.2026 в целях полного и всестороннего рассмотрения жалобы объявлен перерыв, заседание продолжилось 02.06.2026.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В соответствии с частью 1 статьи 32 Закона о контрактной системе для оценки заявок участников закупки заказчик использует критерии, установленные указанной нормой, в том числе квалификацию участников закупки.</w:t>
      </w:r>
    </w:p>
    <w:p>
      <w:r>
        <w:t>Порядок оценки заявок при проведении конкурсов устанавливается в извещении с учетом требований Закона о контрактной системе и Положения об оценке заявок, утвержденного постановлением Правительства Российской Федерации от 31.12.2021 № 2604.</w:t>
      </w:r>
    </w:p>
    <w:p>
      <w:r>
        <w:t>Пункт 1 части 11 статьи 48 Закона о контрактной системе предусматривает, что члены комиссии по осуществлению закупок рассматривают и оценивают вторые части заявок на участие в закупке, а также содержащиеся в них информацию и документы в порядке, установленном извещением и Законом о контрактной системе.</w:t>
      </w:r>
    </w:p>
    <w:p>
      <w:r>
        <w:t>Из указанной нормы следует, что конкурсная комиссия не вправе оценивать квалификацию участников произвольно. Она связана порядком оценки, размещенным в составе извещения, и обязана применять его одинаково ко всем участникам закупки.</w:t>
      </w:r>
    </w:p>
    <w:p>
      <w:r>
        <w:t>Порядок оценки является обязательным правилом сравнения заявок. Его соблюдение обеспечивает равенство участников, проверяемость итоговых баллов и исключает последующее произвольное толкование представленных документов.</w:t>
      </w:r>
    </w:p>
    <w:p>
      <w:r>
        <w:t>Из печатной формы извещения следует, что для оценки заявок установлены два критерия:</w:t>
      </w:r>
    </w:p>
    <w:p>
      <w:r>
        <w:t>цена контракта, значимость критерия — 60 процентов;</w:t>
      </w:r>
    </w:p>
    <w:p>
      <w:r>
        <w:t>квалификация участников закупки, значимость критерия — 40 процентов.</w:t>
      </w:r>
    </w:p>
    <w:p>
      <w:r>
        <w:t>В рамках критерия «Квалификация участников закупки» установлен показатель «Наличие у участников закупки опыта выполнения работы, связанного с предметом контракта» со значимостью 100 процентов.</w:t>
      </w:r>
    </w:p>
    <w:p>
      <w:r>
        <w:t>В качестве детализирующего показателя установлен показатель «Общее количество исполненных участником закупки договоров». Лучшим значением по указанному показателю признается наибольшее значение.</w:t>
      </w:r>
    </w:p>
    <w:p>
      <w:r>
        <w:t>Приложением № 4 к извещению установлено, что по детализирующему показателю «Общее количество исполненных участником закупки договоров» оценивается общее количество заключенных и исполненных договоров.</w:t>
      </w:r>
    </w:p>
    <w:p>
      <w:r>
        <w:t>Порядок оценки определяет перечень документов, подтверждающих наличие опыта:</w:t>
      </w:r>
    </w:p>
    <w:p>
      <w:r>
        <w:t>исполненный договор;</w:t>
      </w:r>
    </w:p>
    <w:p>
      <w:r>
        <w:t>акт или акты приемки выполненных работ, составленные при исполнении такого договора;</w:t>
      </w:r>
    </w:p>
    <w:p>
      <w:r>
        <w:t>разрешение на ввод объекта капитального строительства в эксплуатацию, за исключением случаев, когда такое разрешение не выдается в соответствии с законодательством о градостроительной деятельности.</w:t>
      </w:r>
    </w:p>
    <w:p>
      <w:r>
        <w:t>Также порядок оценки содержит специальное условие: к оценке принимаются исключительно исполненные договоры. При отсутствии в составе заявки договоров, актов приемки выполненных работ либо разрешений на ввод объекта капитального строительства в эксплуатацию, если оно требуется, такие договоры при оценке заявки не учитываются.</w:t>
      </w:r>
    </w:p>
    <w:p>
      <w:r>
        <w:t>Ключевое значение имеет предмет оцениваемых договоров. Приложением № 4 установлено, что предметом договора, оцениваемого по детализирующему показателю, являются работы по строительству, реконструкции, капитальному ремонту объекта капитального строительства, за исключением линейного объекта.</w:t>
      </w:r>
    </w:p>
    <w:p>
      <w:r>
        <w:t>Следовательно, порядок оценки не допускал учет договоров на текущий ремонт, санитарную рубку деревьев, очистку кровли от снега, иные работы, не являющиеся строительством, реконструкцией или капитальным ремонтом объекта капитального строительства.</w:t>
      </w:r>
    </w:p>
    <w:p>
      <w:r>
        <w:t>Комиссия УФАС отмечает, что текущий ремонт и капитальный ремонт объекта капитального строительства не являются тождественными видами работ.</w:t>
      </w:r>
    </w:p>
    <w:p>
      <w:r>
        <w:t>Капитальный ремонт объекта капитального строительства связан с заменой или восстановлением строительных конструкций, их элементов, систем инженерно-технического обеспечения, сетей инженерно-технического обеспечения либо их элементов. Текущий ремонт направлен на поддержание объекта в исправном состоянии и устранение отдельных неисправностей.</w:t>
      </w:r>
    </w:p>
    <w:p>
      <w:r>
        <w:t>Само наличие в составе текущего ремонта отдельных операций по замене или восстановлению элементов инженерных систем не означает автоматического отнесения всего договора к капитальному ремонту объекта капитального строительства.</w:t>
      </w:r>
    </w:p>
    <w:p>
      <w:r>
        <w:t>Для целей оценки по извещению значение имеет не отдельная операция внутри договора, а предмет договора в целом, его правовая и фактическая направленность, содержание работ, подтверждающие акты и иные документы, позволяющие установить, что участник действительно исполнил договор по строительству, реконструкции или капитальному ремонту объекта капитального строительства.</w:t>
      </w:r>
    </w:p>
    <w:p>
      <w:r>
        <w:t>Из протокола рассмотрения и оценки вторых частей заявок от 25.05.2026 следует, что заявки участников № 119 и № 54 признаны соответствующими требованиям извещения.</w:t>
      </w:r>
    </w:p>
    <w:p>
      <w:r>
        <w:t>По заявке № 119 конкурсная комиссия учла 160 договоров и присвоила 89,95 балла в итоговой оценке.</w:t>
      </w:r>
    </w:p>
    <w:p>
      <w:r>
        <w:t>По заявке № 54 конкурсная комиссия учла 212 договоров и присвоила 92,42 балла в итоговой оценке.</w:t>
      </w:r>
    </w:p>
    <w:p>
      <w:r>
        <w:t>При этом по заявке № 54 конкурсная комиссия не приняла к оценке только два контракта с реестровыми номерами 2781013313923000015 и 2781017132822000075 как относящиеся к текущему ремонту.</w:t>
      </w:r>
    </w:p>
    <w:p>
      <w:r>
        <w:t>Вместе с тем, из доводов жалобы и представленных материалов следует, что в составе сведений об опыте участника № 54 имеются иные договоры, которые также требуют проверки на соответствие порядку оценки.</w:t>
      </w:r>
    </w:p>
    <w:p>
      <w:r>
        <w:t>Заявителем указаны договоры с реестровыми номерами 2781050609125000038, 2781050609124000058, 2781013136423000033, 2781013313922000015, 2781021521523000019, которые, по позиции Заявителя, относятся к текущему ремонту и не могли быть учтены как договоры на строительство, реконструкцию или капитальный ремонт объекта капитального строительства.</w:t>
      </w:r>
    </w:p>
    <w:p>
      <w:r>
        <w:t>Заказчик возразил, что указанные договоры относятся к капитальному ремонту, поскольку в их рамках предусмотрена замена и (или) восстановление инженерных систем.</w:t>
      </w:r>
    </w:p>
    <w:p>
      <w:r>
        <w:t>Комиссия УФАС не принимает указанный довод как достаточный для опровержения жалобы.</w:t>
      </w:r>
    </w:p>
    <w:p>
      <w:r>
        <w:t>Ссылка Заказчика на положения Градостроительного кодекса Российской Федерации носит общий характер. Она подтверждает, какие работы могут относиться к капитальному ремонту объекта капитального строительства, но сама по себе не доказывает, что каждый из спорных договоров участника № 54 соответствует именно такому предмету.</w:t>
      </w:r>
    </w:p>
    <w:p>
      <w:r>
        <w:t>Для правомерного учета договора комиссия должна установить по документам заявки и сведениям ЕИС, что предмет конкретного договора соответствует строительству, реконструкции или капитальному ремонту объекта капитального строительства.</w:t>
      </w:r>
    </w:p>
    <w:p>
      <w:r>
        <w:t>Если в реестровых сведениях либо в документах договор обозначен как текущий ремонт, комиссия не вправе автоматически переименовать его в капитальный ремонт только потому, что внутри работ могла осуществляться замена отдельных элементов инженерных систем.</w:t>
      </w:r>
    </w:p>
    <w:p>
      <w:r>
        <w:t>Иной подход размывает установленный Заказчиком порядок оценки. В таком случае к капитальному ремонту можно было бы отнести практически любой ремонтный договор, содержащий замену отдельных элементов, что противоречит самому смыслу ограничения, установленного извещением.</w:t>
      </w:r>
    </w:p>
    <w:p>
      <w:r>
        <w:t>Комиссия УФАС также учитывает, что протокол рассмотрения и оценки вторых частей заявок не содержит мотивированной оценки спорных договоров участника № 54.</w:t>
      </w:r>
    </w:p>
    <w:p>
      <w:r>
        <w:t>Из протокола не следует, что конкурсная комиссия проверила предмет каждого спорного договора, сопоставила его с требованиями приложения № 4 к извещению и пришла к выводу о соответствии именно работам по строительству, реконструкции или капитальному ремонту объекта капитального строительства.</w:t>
      </w:r>
    </w:p>
    <w:p>
      <w:r>
        <w:t>Напротив, из протокола следует только то, что комиссия исключила два договора как текущий ремонт. По иным договорам, на которые указал Заявитель, причины их учета или исключения в протоколе не раскрыты.</w:t>
      </w:r>
    </w:p>
    <w:p>
      <w:r>
        <w:t>Комиссия УФАС исходит из того, что конкурсная комиссия не могла ограничиться формальным подсчетом количества договоров, представленных участником. При установленном порядке оценки комиссия должна была проверить каждый договор по существу:</w:t>
      </w:r>
    </w:p>
    <w:p>
      <w:r>
        <w:t>является ли договор исполненным;</w:t>
      </w:r>
    </w:p>
    <w:p>
      <w:r>
        <w:t>подтверждено ли исполнение актами приемки выполненных работ;</w:t>
      </w:r>
    </w:p>
    <w:p>
      <w:r>
        <w:t>соответствует ли предмет договора строительству, реконструкции или капитальному ремонту объекта капитального строительства;</w:t>
      </w:r>
    </w:p>
    <w:p>
      <w:r>
        <w:t>не относится ли договор к текущему ремонту или иному виду работ;</w:t>
      </w:r>
    </w:p>
    <w:p>
      <w:r>
        <w:t>имеется ли разрешение на ввод объекта капитального строительства в эксплуатацию, если такое разрешение требуется законодательством;</w:t>
      </w:r>
    </w:p>
    <w:p>
      <w:r>
        <w:t>содержатся ли документы в заявке либо в открытом государственном реестре в объеме, позволяющем принять их к оценке.</w:t>
      </w:r>
    </w:p>
    <w:p>
      <w:r>
        <w:t>Такая проверка является не правом, а обязанностью конкурсной комиссии. Без нее оценка квалификации превращается в механический подсчет документов и не отражает реальный опыт участника, связанный с предметом закупки.</w:t>
      </w:r>
    </w:p>
    <w:p>
      <w:r>
        <w:t>Комиссия УФАС отдельно оценивает довод Заказчика о том, что договоры с реестровыми номерами 2781703389523000374, 2781703389523000372, 2781703389524000003 отсутствуют в составе заявки участника № 54.</w:t>
      </w:r>
    </w:p>
    <w:p>
      <w:r>
        <w:t>Указанное возражение принимается Комиссией УФАС в той части, что договоры, отсутствующие в составе заявки и не учтенные конкурсной комиссией, не могут сами по себе подтверждать нарушение порядка оценки.</w:t>
      </w:r>
    </w:p>
    <w:p>
      <w:r>
        <w:t>Вместе с тем, данный довод Заказчика не опровергает жалобу в целом.</w:t>
      </w:r>
    </w:p>
    <w:p>
      <w:r>
        <w:t>Нарушение установлено не в связи с указанными тремя договорами, а в связи с тем, что конкурсная комиссия при оценке заявки № 54 не подтвердила надлежащим образом соответствие учтенных договоров требованиям приложения № 4 к извещению. Наличие либо отсутствие отдельных договоров из приведенного Заявителем перечня не устраняет обязанности комиссии проверить остальные спорные договоры, фактически принятые к оценке.</w:t>
      </w:r>
    </w:p>
    <w:p>
      <w:r>
        <w:t>Комиссия УФАС также оценивает довод Заказчика о том, что аналогичным образом участнику с заявкой № 119 зачтено 160 контрактов.</w:t>
      </w:r>
    </w:p>
    <w:p>
      <w:r>
        <w:t>Данный довод также не опровергает нарушение.</w:t>
      </w:r>
    </w:p>
    <w:p>
      <w:r>
        <w:t>Если конкурсная комиссия допустила аналогичные ошибки при оценке заявки № 119, это подлежит проверке при повторном рассмотрении и оценке заявок. Однако возможная неправильная оценка иной заявки не легализует ненадлежащую оценку заявки № 54.</w:t>
      </w:r>
    </w:p>
    <w:p>
      <w:r>
        <w:t>Порядок оценки должен применяться одинаково ко всем участникам. Одинаковое нарушение в отношении нескольких заявок не становится правомерным. При повторной оценке конкурсная комиссия обязана проверить документы всех участников по одному и тому же стандарту.</w:t>
      </w:r>
    </w:p>
    <w:p>
      <w:r>
        <w:t>Комиссия также учитывает довод Заказчика о финансовых показателях участника № 54.</w:t>
      </w:r>
    </w:p>
    <w:p>
      <w:r>
        <w:t>Заказчик представил таблицу, согласно которой сведения из заявки участника сопоставлены со сведениями финансовой отчетности за 2021-2025 годы, и указал, что они соответствуют друг другу.</w:t>
      </w:r>
    </w:p>
    <w:p>
      <w:r>
        <w:t>Комиссия УФАС отмечает, что вопрос финансовых показателей участника не имеет самостоятельного значения для вывода о правомерности оценки спорных договоров по критерию опыта.</w:t>
      </w:r>
    </w:p>
    <w:p>
      <w:r>
        <w:t>Даже если сведения о финансовых показателях участника не противоречат бухгалтерской отчетности, это не доказывает, что 212 договоров, принятых к оценке, являются договорами на строительство, реконструкцию или капитальный ремонт объекта капитального строительства.</w:t>
      </w:r>
    </w:p>
    <w:p>
      <w:r>
        <w:t>Финансовая отчетность не заменяет договоры, акты приемки выполненных работ и проверку предмета каждого договора. Она не подтверждает статус договора как исполненного и не подтверждает его соответствие предмету оценки.</w:t>
      </w:r>
    </w:p>
    <w:p>
      <w:r>
        <w:t>Следовательно, представленные Заказчиком сведения о финансовых показателях не опровергают довод Заявителя о ненадлежащей оценке опыта.</w:t>
      </w:r>
    </w:p>
    <w:p>
      <w:r>
        <w:t>Комиссия УФАС также учитывает, что по заявке № 119 конкурсная комиссия исключила значительный объем договоров, предмет которых не соответствовал порядку оценки.</w:t>
      </w:r>
    </w:p>
    <w:p>
      <w:r>
        <w:t>Из приложения к протоколу следует, что по заявке № 119 конкурсная комиссия не приняла к оценке договоры на выполнение работ по валке, удалению пней, сносу, санитарной рубке деревьев, договоры на оказание услуг по очистке кровли от снега и наледи, договор, находящийся на этапе исполнения, а также договоры на текущий ремонт.</w:t>
      </w:r>
    </w:p>
    <w:p>
      <w:r>
        <w:t>Это подтверждает, что конкурсная комиссия понимала установленный порядок оценки и необходимость исключать договоры, не связанные со строительством, реконструкцией или капитальным ремонтом объекта капитального строительства.</w:t>
      </w:r>
    </w:p>
    <w:p>
      <w:r>
        <w:t>Однако в отношении заявки № 54 аналогичный подход применен неполно.</w:t>
      </w:r>
    </w:p>
    <w:p>
      <w:r>
        <w:t>Неравномерное применение порядка оценки к участникам закупки нарушает принцип сопоставимости заявок. Комиссия Заказчика не вправе строго проверять одну заявку и формально принимать к оценке документы по другой заявке.</w:t>
      </w:r>
    </w:p>
    <w:p>
      <w:r>
        <w:t>Довод о том, что участник № 54 представил значительный массив документов, сам по себе не подтверждает правомерность оценки. Большой объем документов не освобождает конкурсную комиссию от обязанности проверить их соответствие установленному порядку оценки.</w:t>
      </w:r>
    </w:p>
    <w:p>
      <w:r>
        <w:t>Если участник представил 212 договоров, это означает не автоматическое присвоение максимального количества баллов, а обязанность комиссии проверить 212 договоров и учесть только те, которые соответствуют извещению.</w:t>
      </w:r>
    </w:p>
    <w:p>
      <w:r>
        <w:t>Комиссия УФАС также отмечает, что договоры, расторгнутые без исполнения, если они были представлены и учтены при оценке, не могут подтверждать опыт исполнения договора.</w:t>
      </w:r>
    </w:p>
    <w:p>
      <w:r>
        <w:t>Порядок оценки использует категорию «исполненный договор». Расторгнутый без исполнения договор не подтверждает достижение результата, ради которого установлен критерий квалификации. Такой договор не свидетельствует о способности участника выполнить работы по капитальному ремонту объекта капитального строительства.</w:t>
      </w:r>
    </w:p>
    <w:p>
      <w:r>
        <w:t>Принятие к оценке договора, который не исполнен, искажает квалификацию участника и нарушает порядок оценки заявок.</w:t>
      </w:r>
    </w:p>
    <w:p>
      <w:r>
        <w:t>Довод Заказчика о том, что часть спорных договоров отсутствует в составе заявки, подтверждает необходимость повторной проверки состава документов заявки № 54. При повторной оценке конкурсная комиссия должна установить, какие именно договоры были представлены участником, какие из них учтены, какие исключены и по каким основаниям.</w:t>
      </w:r>
    </w:p>
    <w:p>
      <w:r>
        <w:t>Комиссия УФАС также отдельно оценивает довод Заявителя о противоречии оценки заявки № 54 ранее проведенным закупкам, в которых у участника учитывалось существенно меньшее количество договоров.</w:t>
      </w:r>
    </w:p>
    <w:p>
      <w:r>
        <w:t>Само по себе отличие количества договоров, учтенных в иных закупках, не является самостоятельным доказательством нарушения. В каждой закупке подлежит оценке конкретный порядок оценки и конкретный состав документов, представленных в заявке.</w:t>
      </w:r>
    </w:p>
    <w:p>
      <w:r>
        <w:t>Однако указанный довод дополнительно подтверждает необходимость проверки документов, поскольку резкое увеличение количества договоров, признанных соответствующими опыту капитального ремонта, при наличии спорных договоров требует от конкурсной комиссии особенно внимательной оценки.</w:t>
      </w:r>
    </w:p>
    <w:p>
      <w:r>
        <w:t>Комиссия УФАС не основывает вывод о нарушении на сведениях о выручке участника № 54 и расчетах Заявителя о средней стоимости договоров. Такие сведения имеют косвенный характер и сами по себе не доказывают незаконность оценки.</w:t>
      </w:r>
    </w:p>
    <w:p>
      <w:r>
        <w:t>Вывод Комиссии УФАС основан на ином: конкурсная комиссия приняла к оценке сведения об опыте участника № 54 без надлежащей и проверяемой оценки соответствия договоров предмету оценки и статусу исполнения, что подтверждается протоколом, доводами жалобы и представленными материалами.</w:t>
      </w:r>
    </w:p>
    <w:p>
      <w:r>
        <w:t>Довод Заказчика либо конкурсной комиссии о том, что спорные договоры могли не повлиять на итоговый результат, не исключает нарушения.</w:t>
      </w:r>
    </w:p>
    <w:p>
      <w:r>
        <w:t>Закон о контрактной системе требует не только правильного определения победителя, но и соблюдения установленного порядка оценки. Протокол оценки должен отражать правомерно учтенные значения по каждому показателю.</w:t>
      </w:r>
    </w:p>
    <w:p>
      <w:r>
        <w:t>Если комиссия принимает к оценке договоры, не соответствующие порядку оценки, она нарушает сам механизм сравнения заявок. Такой дефект не может быть признан техническим.</w:t>
      </w:r>
    </w:p>
    <w:p>
      <w:r>
        <w:t>Более того, в рассматриваемой закупке разница между итоговыми баллами заявок № 54 и № 119 составляет менее трех баллов. Критерий квалификации имеет значимость 40 процентов. Поэтому неправильное определение количества исполненных договоров объективно способно повлиять на итоговую оценку и место заявок в рейтинге.</w:t>
      </w:r>
    </w:p>
    <w:p>
      <w:r>
        <w:t>Комиссия УФАС также учитывает, что значение по заявке № 54 является лучшим и используется для присвоения баллов по детализирующему показателю.</w:t>
      </w:r>
    </w:p>
    <w:p>
      <w:r>
        <w:t>Следовательно, исключение из оценки ненадлежащих договоров может изменить не только оценку заявки № 54, но и пропорцию начисления баллов по заявке № 119.</w:t>
      </w:r>
    </w:p>
    <w:p>
      <w:r>
        <w:t>При таких обстоятельствах нарушение нельзя считать несущественным.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конкурсная комиссия Уполномоченного органа, Заказчика при рассмотрении и оценке вторых частей заявок нарушила порядок оценки, установленный извещением. Конкурсная комиссия необоснованно приняла к оценке договоры участника № 54, соответствие которых установленному предмету оценки и статусу исполнения материалами дела не подтверждено.</w:t>
      </w:r>
    </w:p>
    <w:p>
      <w:r>
        <w:t>Действия конкурсной комиссии, выразившиеся в ненадлежащей проверке и необоснованном принятии к оценке договоров, представленных участником № 54 в подтверждение квалификации, нарушают пункт 1 части 11 статьи 48 Закона о контрактной системе.</w:t>
      </w:r>
    </w:p>
    <w:p>
      <w:r>
        <w:t>Довод жалобы является обоснованным.</w:t>
      </w:r>
    </w:p>
    <w:p>
      <w:r>
        <w:t>Установленное нарушение затрагивает порядок оценки заявок, содержание протокола рассмотрения и оценки вторых частей заявок, итоговый рейтинг участников и возможность проверки законности определения победителя.</w:t>
      </w:r>
    </w:p>
    <w:p>
      <w:r>
        <w:t>С учетом изложенного, имеются основания для выдачи обязательного для исполнения предписания об устранении выявленного нарушения путем отмены протоколов, составленных при определении поставщика, и повторного рассмотрения и оценки вторых частей заявок.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"МЕРАДОМ" обоснованной.</w:t>
      </w:r>
    </w:p>
    <w:p>
      <w:r>
        <w:t>2. Признать в действиях комиссии Уполномоченного органа, Заказчика нарушение пункта 1 части 11 статьи 48 Закона о контрактной системе.</w:t>
      </w:r>
    </w:p>
    <w:p>
      <w:r>
        <w:t>3. Выдать Заказчику, Уполномоченному органу,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02.06.2026 по делу № 078/06/105-2319/2026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МОСКОВСКОГО РАЙОНА САНКТ-ПЕТЕРБУРГА</w:t>
              <w:br/>
              <w:t>Российская Федерация, 196084, Санкт-Петербург, ПР-КТ МОСКОВСКИЙ, 129</w:t>
            </w:r>
          </w:p>
        </w:tc>
      </w:tr>
    </w:tbl>
    <w:p>
      <w:r>
        <w:t>ГОСУДАРСТВЕННОЕ БЮДЖЕТНОЕ ОБЩЕОБРАЗОВАТЕЛЬНОЕ УЧРЕЖДЕНИЕ ШКОЛА № 613 МОСКОВСКОГО РАЙОНА</w:t>
      </w:r>
    </w:p>
    <w:p>
      <w:r>
        <w:t>САНКТ-ПЕТЕРБУРГА</w:t>
      </w:r>
    </w:p>
    <w:p>
      <w:r>
        <w:t>Российская Федерация, 196066, г Санкт-Петербург, вн.тер.г. муниципальный округ Пулковский меридиан, пр-кт Московский, д. 203 литера А,</w:t>
      </w:r>
    </w:p>
    <w:p>
      <w:r>
        <w:t>ООО "МЕРАДОМ"</w:t>
      </w:r>
    </w:p>
    <w:p>
      <w:r>
        <w:t>199155, Г.САНКТ-ПЕТЕРБУРГ, вн.тер.г. МУНИЦИПАЛЬНЫЙ ОКРУГ ОСТРОВ ДЕКАБРИСТОВ, ПР-КТ КИМА, Д. 4, ЛИТЕРА А, ПОМЕЩ. 35Н, ОФИС 2</w:t>
      </w:r>
    </w:p>
    <w:p>
      <w:r>
        <w:t>ПРЕДПИСАНИЕ</w:t>
      </w:r>
    </w:p>
    <w:p>
      <w:r>
        <w:t>по делу № 078/06/105-2319/2026</w:t>
      </w:r>
    </w:p>
    <w:p>
      <w:r>
        <w:t>об устранении нарушений законодательства о закупках</w:t>
      </w:r>
    </w:p>
    <w:p>
      <w:r>
        <w:t>02.06.2026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078/06/105-2319/2026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Уполномоченному органу - АДМИНИСТРАЦИЯ МОСКОВСКОГО РАЙОНА САНКТ-ПЕТЕРБУРГА, Заказчику – ГОСУДАРСТВЕННОЕ БЮДЖЕТНОЕ ОБЩЕОБРАЗОВАТЕЛЬНОЕ УЧРЕЖДЕНИЕ ШКОЛА № 613 МОСКОВСКОГО РАЙОНА САНКТ-ПЕТЕРБУРГА и комиссии в 7-дневный срок с момента публикации настоящего предписания на официальном сайте единой информационной системы устранить нарушения п. 1 ч. 11 ст. 48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25.05.2026 №ИЭОК2, протокол рассмотрения и оценки вторых частей заявок на участие в открытом конкурсе в электронной форме от 25.05.2026 №ПРОII2, составленные в ходе осуществления закупки с номером извещения 0172200000426000033;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0172200000426000033 в соответствии с законодательством о контрактной системе.</w:t>
      </w:r>
    </w:p>
    <w:p>
      <w:r>
        <w:t>2. Уполномоченному органу, Заказчику и конкурсной комиссии в срок 30.06.2026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АО «Сбербанк-АСТ»:</w:t>
      </w:r>
    </w:p>
    <w:p>
      <w:r>
        <w:t>- обеспечить Уполномоченному органу, Заказчику и конкурсной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