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202600114959007527</w:t>
      </w:r>
    </w:p>
    <w:p>
      <w:r>
        <w:rPr>
          <w:b/>
        </w:rPr>
        <w:t xml:space="preserve">УФАС: </w:t>
      </w:r>
      <w:r>
        <w:t>УФАС по Санкт-Петербургу</w:t>
      </w:r>
    </w:p>
    <w:p>
      <w:r>
        <w:rPr>
          <w:b/>
        </w:rPr>
        <w:t xml:space="preserve">Дата решения: </w:t>
      </w:r>
      <w:r>
        <w:t>Опубликовано в ЕИС 18.06.2026 · в тексте решения — 19.06.2026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0372200060026000018</w:t>
      </w:r>
    </w:p>
    <w:p>
      <w:r>
        <w:rPr>
          <w:b/>
        </w:rPr>
        <w:t xml:space="preserve">Заказчик: </w:t>
      </w:r>
      <w:r>
        <w:t>Санкт-Петербургское государственное бюджетное учреждение культуры «Санкт-Петербургский государственный музыкально-драматический театр »БУФФ« имени И.Р. Штокбанта»</w:t>
      </w:r>
    </w:p>
    <w:p>
      <w:r>
        <w:rPr>
          <w:b/>
        </w:rPr>
        <w:t xml:space="preserve">Заявитель: </w:t>
      </w:r>
      <w:r>
        <w:t>ООО «Элвиком»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https://zakupki.gov.ru/epz/complaint/card/complaint-information.html?complaintNumber=202600114959007527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САНКТ-ПЕТЕРБУРГСКОЕ ГОСУДАРСТВЕННОЕ БЮДЖЕТНОЕ УЧРЕЖДЕНИЕ КУЛЬТУРЫ "САНКТ-ПЕТЕРБУРГСКИЙ ГОСУДАРСТВЕННЫЙ МУЗЫКАЛЬНО-ДРАМАТИЧЕСКИЙ ТЕАТР "БУФФ"</w:t>
              <w:br/>
              <w:t>ИМЕНИ И.Р. ШТОКБАНТА"</w:t>
              <w:br/>
              <w:t>195112, Санкт-Петербург, Шаумяна, дом 22, корпус А</w:t>
            </w:r>
          </w:p>
        </w:tc>
      </w:tr>
    </w:tbl>
    <w:p>
      <w:r>
        <w:t>ООО "ЭЛВИКОМ"</w:t>
      </w:r>
    </w:p>
    <w:p>
      <w:r>
        <w:t>163002, АРХАНГЕЛЬСКАЯ ОБЛАСТЬ, Г АРХАНГЕЛЬСК,</w:t>
      </w:r>
    </w:p>
    <w:p>
      <w:r>
        <w:t>ПР-КТ МОСКОВСКИЙ, Д. 25, ПОМЕЩ. 14</w:t>
      </w:r>
    </w:p>
    <w:p>
      <w:r>
        <w:t>РЕШЕНИЕ</w:t>
      </w:r>
    </w:p>
    <w:p>
      <w:r>
        <w:t>по делу № 078/06/105-2640/2026</w:t>
      </w:r>
    </w:p>
    <w:p>
      <w:r>
        <w:t>о нарушении законодательства о контрактной системе</w:t>
      </w:r>
    </w:p>
    <w:p>
      <w:r>
        <w:t>19.06.2026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r>
        <w:t>при участии представителей:</w:t>
      </w:r>
    </w:p>
    <w:p>
      <w:r>
        <w:t>САНКТ-ПЕТЕРБУРГСКОЕ ГОСУДАРСТВЕННОЕ БЮДЖЕТНОЕ УЧРЕЖДЕНИЕ КУЛЬТУРЫ "САНКТ-ПЕТЕРБУРГСКИЙ ГОСУДАРСТВЕННЫЙ МУЗЫКАЛЬНО-ДРАМАТИЧЕСКИЙ ТЕАТР "БУФФ" ИМЕНИ И.Р. ШТОКБАНТА" (далее – Заказчик):</w:t>
      </w:r>
    </w:p>
    <w:p>
      <w:r>
        <w:t>ООО "ЭЛВИКОМ" (далее – Заявитель):</w:t>
      </w:r>
    </w:p>
    <w:p>
      <w:pPr>
        <w:pStyle w:val="Heading2"/>
      </w:pPr>
      <w:r>
        <w:t>описательная часть</w:t>
      </w:r>
    </w:p>
    <w:p>
      <w:r>
        <w:t>рассмотрев посредством системы видеоконференцсвязи жалобу Заявителя (вх. № 13836/26 от 15.06.2026) на действия СПБ ГБУК "САНКТ-ПЕТЕРБУРГСКИЙ ГОСУДАРСТВЕННЫЙ МУЗЫКАЛЬНО-ДРАМАТИЧЕСКИЙ ТЕАТР "БУФФ" ИМЕНИ И.Р. ШТОКБАНТА", (далее – Заказчик), при определении (подрядчика, исполнителя) путем проведения электронного аукциона на выполнение работ по ремонту системы технологического видеонаблюдения за сценой (далее – аукцион), а также в результате проведения внеплановой проверки на основании п. 1 ч. 15 ст.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Извещение о проведении аукциона размещено 29.05.2026 в единой информационной системе, номер извещения 0372200060026000018. Начальная (максимальная) цена контракта – 17480695,00 рублей.</w:t>
      </w:r>
    </w:p>
    <w:p>
      <w:r>
        <w:t>В жалобе Заявитель указывает на неправомерные действия Заказчика, нарушающие, по мнению Заявителя, требования Закона о контрактной системе, по основаниям, изложенным в жалобе.</w:t>
      </w:r>
    </w:p>
    <w:p>
      <w:r>
        <w:t>По мнению Заявителя, извещение о проведении закупки не соответствует требованиям Закона о контрактной системе.</w:t>
      </w:r>
    </w:p>
    <w:p>
      <w:r>
        <w:t>Заявитель указывает, что Заказчик включил в описание объекта закупки указания на товарные знаки без сопровождения словами «или эквивалент».</w:t>
      </w:r>
    </w:p>
    <w:p>
      <w:r>
        <w:t>Также Заявитель полагает, что Заказчик не применил обязательные позиции КТРУ в отношении оборудования, поставляемого при выполнении работ, и не сформировал характеристики такого оборудования в структурированной форме.</w:t>
      </w:r>
    </w:p>
    <w:p>
      <w:r>
        <w:t>Кроме того, Заявитель указывает на нарушение порядка применения национального режима. По позиции Заявителя, оборудование, передаваемое Заказчику при исполнении контракта, относится к товарам, в отношении которых применяются меры, предусмотренные Постановлением Правительства Российской Федерации от 23.12.2024 № 1875. Однако извещение не содержит надлежащей информации о запрете, ограничении или преимуществе, предусмотренных статьей 14 Закона о контрактной системе.</w:t>
      </w:r>
    </w:p>
    <w:p>
      <w:r>
        <w:t>Согласно представленным в порядке ч. 1 ст. 106 Закона о контрактной системе возражениям Заказчик с доводами жалобы не согласен и считает ее необоснованной.</w:t>
      </w:r>
    </w:p>
    <w:p>
      <w:r>
        <w:t>В ходе рассмотрения жалобы Заявителя на действия Заказчика 18.06.2026 в целях полного и всестороннего рассмотрения жалобы объявлен перерыв, заседание продолжилось 19.06.2026.</w:t>
      </w:r>
    </w:p>
    <w:p>
      <w:r>
        <w:t>Информация, изложенная в жалобе, пояснения представителей сторон, представленные документы подтверждают следующие обстоятельства:</w:t>
      </w:r>
    </w:p>
    <w:p>
      <w:r>
        <w:t>В соответствии с пунктом 1 части 2 статьи 42 Закона о контрактной системе извещение о проведении закупки должно содержать описание объекта закупки, сформированное в соответствии со статьей 33 Закона о контрактной системе.</w:t>
      </w:r>
    </w:p>
    <w:p>
      <w:r>
        <w:t>Пункт 1 части 1 статьи 33 Закона о контрактной системе допускает указание в описании объекта закупки функциональных, технических, качественных и эксплуатационных характеристик объекта закупки. При этом описание объекта закупки не должно содержать требования или указания в отношении товарных знаков, если такие требования или указания влекут ограничение количества участников закупки.</w:t>
      </w:r>
    </w:p>
    <w:p>
      <w:r>
        <w:t>Указание на товарный знак допускается, в частности, при сопровождении словами «или эквивалент», либо в иных специальных случаях, прямо предусмотренных пунктом 1 части 1 статьи 33 Закона о контрактной системе.</w:t>
      </w:r>
    </w:p>
    <w:p>
      <w:r>
        <w:t>Из описания объекта закупки следует, что работы должны выполняться в соответствии с техническим заданием, рабочей документацией и локальной сметой. Локальная смета является приложением к описанию объекта закупки и определяет состав работ, оборудования и материалов, используемых при исполнении контракта.</w:t>
      </w:r>
    </w:p>
    <w:p>
      <w:r>
        <w:t>Следовательно, локальная смета не является внешним справочным документом. Она входит в состав извещения и влияет на объем обязательств подрядчика.</w:t>
      </w:r>
    </w:p>
    <w:p>
      <w:r>
        <w:t>Комиссией УФАС установлено, что в локальной смете указано оборудование и материалы с обозначением конкретных товарных знаков и моделей, включая LTV, LTC, TERRA, CABLEUS, A4TECH, Logitech и иные обозначения.</w:t>
      </w:r>
    </w:p>
    <w:p>
      <w:r>
        <w:t>В частности, в смете указаны позиции: IP-камера LTV-3CND40-M2714, монтажная коробка LTV-BMW-JB-U2, кронштейн LTV-BMW-W190-E5, IP-видеокамера LTV-3CNS20-F-G3, объектив LTV-LDV-2812M2-IR, монитор LTV-MC4313-P, АРМ LTV WS010-SFF-VESA-2Vi.P1.16G.WP.SI, сервер LTV SR310-81Gl-D-10r-R5i-I.16G.WI.SI, коммутатор LTV-3S24G4C-P, клавиатура и мышь Logitech MK120.</w:t>
      </w:r>
    </w:p>
    <w:p>
      <w:r>
        <w:t>Часть указанных позиций в основном тексте описания объекта закупки сопровождается словами «или эквивалент». Однако в локальной смете, являющейся частью описания объекта закупки, товарные знаки и конкретные модели указаны без последовательного сопровождения словами «или эквивалент».</w:t>
      </w:r>
    </w:p>
    <w:p>
      <w:r>
        <w:t>Такая конструкция извещения создает противоречие.</w:t>
      </w:r>
    </w:p>
    <w:p>
      <w:r>
        <w:t>Участник закупки обязан учитывать все приложения к извещению. Если в одном документе Заказчик допускает эквивалент, а в другом документе фиксирует конкретные товарные знаки без указания на эквивалентность, участник не может однозначно определить пределы допустимого предложения.</w:t>
      </w:r>
    </w:p>
    <w:p>
      <w:r>
        <w:t>Комиссия УФАС учитывает, что Заказчик не представил доказательств наличия обстоятельств, позволяющих указать товарные знаки без слов «или эквивалент».</w:t>
      </w:r>
    </w:p>
    <w:p>
      <w:r>
        <w:t>Материалы дела не подтверждают, что спорное оборудование закупается как запасные части или расходные материалы к конкретным машинам и оборудованию Заказчика.</w:t>
      </w:r>
    </w:p>
    <w:p>
      <w:r>
        <w:t>Также не подтверждено, что использование оборудования иных товарных знаков объективно невозможно ввиду несовместимости с имеющимся у Заказчика оборудованием.</w:t>
      </w:r>
    </w:p>
    <w:p>
      <w:r>
        <w:t>Само по себе выполнение работ по ремонту системы видеонаблюдения не освобождает Заказчика от соблюдения правил описания объекта закупки. Если Заказчику необходимо обеспечить совместимость оборудования, он обязан описать функциональные, технические и эксплуатационные параметры такой совместимости, а не фиксировать конкретную линейку производителя без надлежащего правового основания.</w:t>
      </w:r>
    </w:p>
    <w:p>
      <w:r>
        <w:t>При таких обстоятельствах указание в составе описания объекта закупки товарных знаков без сопровождения словами «или эквивалент» не соответствует пункту 1 части 1 статьи 33 Закона о контрактной системе.</w:t>
      </w:r>
    </w:p>
    <w:p>
      <w:r>
        <w:t>Действия Заказчика нарушают пункт 1 части 2 статьи 42 Закона о контрактной системе.</w:t>
      </w:r>
    </w:p>
    <w:p>
      <w:r>
        <w:t>Указанный довод жалобы является обоснованным.</w:t>
      </w:r>
    </w:p>
    <w:p>
      <w:r>
        <w:t>Комиссия УФАС также оценила довод Заявителя о неприменении Заказчиком КТРУ.</w:t>
      </w:r>
    </w:p>
    <w:p>
      <w:r>
        <w:t>Согласно пункту 5 части 1 статьи 42 Закона о контрактной системе извещение должно содержать наименование объекта закупки и информацию, предусмотренную правилами использования каталога товаров, работ, услуг для обеспечения государственных и муниципальных нужд.</w:t>
      </w:r>
    </w:p>
    <w:p>
      <w:r>
        <w:t>В силу части 6 статьи 23 Закона о контрактной системе порядок формирования и ведения КТРУ, а также правила его использования устанавливаются Правительством Российской Федерации.</w:t>
      </w:r>
    </w:p>
    <w:p>
      <w:r>
        <w:t>Правила использования КТРУ утверждены Постановлением Правительства Российской Федерации от 08.02.2017 № 145.</w:t>
      </w:r>
    </w:p>
    <w:p>
      <w:r>
        <w:t>По пункту 4 Правил использования КТРУ заказчики обязаны применять информацию, включенную в соответствующую позицию каталога, с даты начала ее обязательного применения.</w:t>
      </w:r>
    </w:p>
    <w:p>
      <w:r>
        <w:t>Если позиция КТРУ содержит описание товара, заказчик обязан использовать сведения каталога при формировании извещения.</w:t>
      </w:r>
    </w:p>
    <w:p>
      <w:r>
        <w:t>Пункты 5 и 6 Правил использования КТРУ допускают указание дополнительной информации и дополнительных характеристик, не предусмотренных позицией каталога. Однако такое дополнение не заменяет обязанность применить КТРУ. Дополнительные характеристики могут быть установлены только сверх обязательных сведений каталога и при наличии надлежащего обоснования необходимости их применения.</w:t>
      </w:r>
    </w:p>
    <w:p>
      <w:r>
        <w:t>Извещение сформировано Заказчиком как закупка работы по ОКПД2 43.21.10.290 «Работы электромонтажные прочие, не включенные в другие группировки».</w:t>
      </w:r>
    </w:p>
    <w:p>
      <w:r>
        <w:t>В структурированной форме извещения объект закупки отражен одной позицией: «Выполнение работ по ремонту системы технологического видеонаблюдения за сценой», единица измерения — условная единица.</w:t>
      </w:r>
    </w:p>
    <w:p>
      <w:r>
        <w:t>При этом из описания объекта закупки и локальной сметы следует, что при выполнении работ подрядчик должен поставить и смонтировать значительный объем оборудования, передаваемого Заказчику и оплачиваемого в составе цены контракта.</w:t>
      </w:r>
    </w:p>
    <w:p>
      <w:r>
        <w:t>В описание объекта закупки включены, в частности, IP-камеры, мониторы, источники бесперебойного питания, сервер, автоматизированные рабочие места, удаленные рабочие места, коммутаторы и иное оборудование.</w:t>
      </w:r>
    </w:p>
    <w:p>
      <w:r>
        <w:t>По ряду позиций Заказчик сам указал наличие КТРУ: монитор — КТРУ 26.20.17.110-00000001, источник бесперебойного питания — КТРУ 26.20.40.110-00000001, сервер — КТРУ 26.20.14.000-00000001, коммутатор — КТРУ 26.30.11.110-00000001.</w:t>
      </w:r>
    </w:p>
    <w:p>
      <w:r>
        <w:t>Одновременно по ряду позиций Заказчик указал, что КТРУ не применяется, поскольку в соответствующей позиции каталога отсутствует характеристика объектива — фокусное расстояние.</w:t>
      </w:r>
    </w:p>
    <w:p>
      <w:r>
        <w:t>Комиссия УФАС признает такую позицию Заказчика неправомерной.</w:t>
      </w:r>
    </w:p>
    <w:p>
      <w:r>
        <w:t>Отсутствие в позиции КТРУ отдельной характеристики, необходимой Заказчику, не является основанием для неприменения каталога.</w:t>
      </w:r>
    </w:p>
    <w:p>
      <w:r>
        <w:t>В такой ситуации Заказчик обязан применить обязательные сведения КТРУ и вправе дополнить описание объекта закупки характеристикой, необходимой для удовлетворения своей потребности, с соблюдением статьи 33 Закона о контрактной системе и пунктов 5–6 Правил использования КТРУ.</w:t>
      </w:r>
    </w:p>
    <w:p>
      <w:r>
        <w:t>Иной подход фактически позволяет Заказчику отказаться от применения КТРУ всякий раз, когда каталог не содержит одной из желаемых характеристик. Это противоречит правовому смыслу статьи 23 Закона о контрактной системе и Постановления № 145.</w:t>
      </w:r>
    </w:p>
    <w:p>
      <w:r>
        <w:t>КТРУ обеспечивает единообразное описание товаров, сопоставимость предложений участников и корректное формирование заявки в структурированной форме. Формальное указание общей позиции работ не исключает обязанности Заказчика применить КТРУ к товарам, поставляемым при выполнении таких работ, если такие товары передаются Заказчику и включены в объект закупки.</w:t>
      </w:r>
    </w:p>
    <w:p>
      <w:r>
        <w:t>Комиссия УФАС учитывает, что оборудование составляет самостоятельную и значимую часть исполнения контракта. Оно перечислено в описании объекта закупки и локальной смете, имеет конкретные наименования, количество, цену и подлежит передаче Заказчику в составе результата работ.</w:t>
      </w:r>
    </w:p>
    <w:p>
      <w:r>
        <w:t>Следовательно, Заказчик не вправе был ограничиться указанием одной позиции работы по ОКПД2 43.21.10.290 и перенести характеристики оборудования исключительно в текстовое приложение.</w:t>
      </w:r>
    </w:p>
    <w:p>
      <w:r>
        <w:t>Такая форма описания препятствует участнику сформировать предложение в отношении поставляемого оборудования через структурированные поля электронной площадки, включая характеристики товара, товарный знак, страну происхождения и реестровые сведения, если их указание требуется законодательством.</w:t>
      </w:r>
    </w:p>
    <w:p>
      <w:pPr>
        <w:pStyle w:val="Heading2"/>
      </w:pPr>
      <w:r>
        <w:t>мотивировочная часть</w:t>
      </w:r>
    </w:p>
    <w:p>
      <w:r>
        <w:t>При таких обстоятельствах Комиссия УФАС приходит к выводу, что Заказчик нарушил пункт 5 части 1 статьи 42 Закона о контрактной системе во взаимосвязи с частью 6 статьи 23 Закона о контрактной системе и Правилами использования КТРУ.</w:t>
      </w:r>
    </w:p>
    <w:p>
      <w:r>
        <w:t>Нарушение выразилось в неприменении обязательных позиций КТРУ при описании оборудования, поставляемого при выполнении работ, а также в неразмещении соответствующих характеристик в структурированной форме извещения.</w:t>
      </w:r>
    </w:p>
    <w:p>
      <w:r>
        <w:t>Довод жалобы в указанной части является обоснованным.</w:t>
      </w:r>
    </w:p>
    <w:p>
      <w:r>
        <w:t>Комиссия УФАС также оценила довод о нарушении порядка применения национального режима.</w:t>
      </w:r>
    </w:p>
    <w:p>
      <w:r>
        <w:t>Согласно пункту 15 части 1 статьи 42 Закона о контрактной системе извещение о проведении закупки должно содержать информацию о запрете, ограничении закупок товаров, происходящих из иностранных государств, либо о преимуществе в отношении товаров российского происхождения, если такие меры установлены в соответствии с пунктом 1 части 2 статьи 14 Закона о контрактной системе.</w:t>
      </w:r>
    </w:p>
    <w:p>
      <w:r>
        <w:t>Часть 2 статьи 14 Закона о контрактной системе предусматривает полномочие Правительства Российской Федерации устанавливать запреты, ограничения и преимущества в отношении товаров, происходящих из иностранных государств, в том числе товаров, поставляемых при выполнении закупаемых работ.</w:t>
      </w:r>
    </w:p>
    <w:p>
      <w:r>
        <w:t>Постановлением Правительства Российской Федерации от 23.12.2024 № 1875 установлены меры национального режима при осуществлении закупок товаров, работ, услуг.</w:t>
      </w:r>
    </w:p>
    <w:p>
      <w:r>
        <w:t>Указанные меры применяются не только при закупке товара как самостоятельного предмета контракта, но и в отношении товара, поставляемого при выполнении работ, если такой товар фактически передается Заказчику, принимается им и оплачивается в составе контракта.</w:t>
      </w:r>
    </w:p>
    <w:p>
      <w:r>
        <w:t>Из материалов дела следует, что в рамках исполнения контракта подрядчик передает Заказчику оборудование системы видеонаблюдения.</w:t>
      </w:r>
    </w:p>
    <w:p>
      <w:r>
        <w:t>Такое оборудование не является исключительно расходным материалом, полностью утрачивающим самостоятельное значение в процессе выполнения работ. Оно образует результат закупки, устанавливается на объекте Заказчика, принимается Заказчиком и оплачивается в составе цены контракта.</w:t>
      </w:r>
    </w:p>
    <w:p>
      <w:r>
        <w:t>Следовательно, к указанному оборудованию подлежат применению меры национального режима при наличии соответствующих позиций в приложениях к Постановлению № 1875.</w:t>
      </w:r>
    </w:p>
    <w:p>
      <w:r>
        <w:t>Заявитель указал, что оборудование, включенное в описание объекта закупки, соотносится с позициями приложения № 2 к Постановлению № 1875, в частности:</w:t>
      </w:r>
    </w:p>
    <w:p>
      <w:r>
        <w:t>IP-камеры — с позицией 239 «Видеокамеры для записи и прочая аппаратура для записи или воспроизведения изображения»;</w:t>
      </w:r>
    </w:p>
    <w:p>
      <w:r>
        <w:t>мониторы — с позицией 201 «Мониторы и проекторы, преимущественно используемые в системах автоматической обработки данных»;</w:t>
      </w:r>
    </w:p>
    <w:p>
      <w:r>
        <w:t>источники бесперебойного питания — с позицией 205 «Блоки, части и принадлежности вычислительных машин»;</w:t>
      </w:r>
    </w:p>
    <w:p>
      <w:r>
        <w:t>серверы и автоматизированные рабочие места — с позициями 198 и 199, относящимися к вычислительным машинам;</w:t>
      </w:r>
    </w:p>
    <w:p>
      <w:r>
        <w:t>коммутаторы — с позицией 206 «Средства связи, выполняющие функцию систем коммутации».</w:t>
      </w:r>
    </w:p>
    <w:p>
      <w:r>
        <w:t>Комиссия УФАС не установила обстоятельств, опровергающих указанную квалификацию оборудования.</w:t>
      </w:r>
    </w:p>
    <w:p>
      <w:r>
        <w:t>Вместе с тем, извещение о проведении закупки не содержит надлежащих сведений о применении ограничения закупок товаров иностранного происхождения в отношении указанного оборудования.</w:t>
      </w:r>
    </w:p>
    <w:p>
      <w:r>
        <w:t>В описании объекта закупки Заказчик указал, что в соответствии с Постановлением № 1875 страна происхождения оборудования, устанавливаемого по контракту, является Российская Федерация.</w:t>
      </w:r>
    </w:p>
    <w:p>
      <w:r>
        <w:t>Такая формулировка не является надлежащим применением национального режима.</w:t>
      </w:r>
    </w:p>
    <w:p>
      <w:r>
        <w:t>Во-первых, статья 14 Закона о контрактной системе и Постановление № 1875 требуют не декларативного указания желаемой страны происхождения, а установления конкретной меры национального режима: запрета, ограничения либо преимущества.</w:t>
      </w:r>
    </w:p>
    <w:p>
      <w:r>
        <w:t>Во-вторых, извещение должно содержать информацию о применяемой мере, а требования к заявке должны предусматривать сведения и документы, подтверждающие происхождение товара, если такие сведения и документы необходимы для применения соответствующей меры.</w:t>
      </w:r>
    </w:p>
    <w:p>
      <w:r>
        <w:t>В-третьих, при наличии товаров, подпадающих под Постановление № 1875, Заказчик обязан обеспечить участникам возможность представить сведения о стране происхождения, реестровые номера и иные документы, предусмотренные законодательством, в отношении товара, поставляемого при выполнении работ.</w:t>
      </w:r>
    </w:p>
    <w:p>
      <w:r>
        <w:t>Фактическое указание в техническом задании фразы о российском происхождении оборудования не заменяет правовой механизм национального режима.</w:t>
      </w:r>
    </w:p>
    <w:p>
      <w:r>
        <w:t>Более того, такая формулировка может привести к дополнительной неопределенности. Участник не понимает, каким образом подтвердить российское происхождение оборудования, какие сведения подлежат включению в заявку и какие последствия наступают при предложении товара иностранного происхождения.</w:t>
      </w:r>
    </w:p>
    <w:p>
      <w:r>
        <w:t>При этом отсутствие в структурированной форме извещения позиций оборудования дополнительно исключает корректное применение национального режима, поскольку участники лишаются возможности надлежащим образом указать характеристики товара, страну происхождения и реестровые сведения по соответствующим товарам.</w:t>
      </w:r>
    </w:p>
    <w:p>
      <w:r>
        <w:t>Комиссия УФАС приходит к выводу, что Заказчик нарушил пункт 15 части 1 статьи 42 Закона о контрактной системе во взаимосвязи с частью 2 статьи 14 Закона о контрактной системе.</w:t>
      </w:r>
    </w:p>
    <w:p>
      <w:r>
        <w:t>Нарушение выразилось в ненадлежащем применении национального режима в отношении товаров, поставляемых при выполнении закупаемых работ.</w:t>
      </w:r>
    </w:p>
    <w:p>
      <w:r>
        <w:t>Довод жалобы в указанной части является обоснованным.</w:t>
      </w:r>
    </w:p>
    <w:p>
      <w:r>
        <w:t>Комиссия УФАС также учитывает довод Заявителя о том, что Заказчик при описании оборудования, подпадающего под меры национального режима, не обеспечил описание характеристик товаров российского происхождения.</w:t>
      </w:r>
    </w:p>
    <w:p>
      <w:r>
        <w:t>Часть 1.1 статьи 33 Закона о контрактной системе предусматривает, что при описании товара, являющегося объектом закупки, в том числе поставляемого при выполнении закупаемой работы, в отношении которого установлены запрет, ограничение или преимущество в соответствии с пунктом 1 части 2 статьи 14 Закона о контрактной системе, указываются характеристики товара российского происхождения.</w:t>
      </w:r>
    </w:p>
    <w:p>
      <w:r>
        <w:t>Поскольку Комиссия УФАС установила, что в составе работ поставляется оборудование, подпадающее под меры национального режима, Заказчик обязан был сформировать описание такого оборудования с учетом указанного требования.</w:t>
      </w:r>
    </w:p>
    <w:p>
      <w:r>
        <w:t>Заказчик этого не сделал.</w:t>
      </w:r>
    </w:p>
    <w:p>
      <w:r>
        <w:t>Вместо этого, Заказчик включил в описание объекта закупки конкретные товарные знаки и модели оборудования, в том числе LTV, а также не обеспечил применение соответствующих позиций КТРУ в структурированной форме.</w:t>
      </w:r>
    </w:p>
    <w:p>
      <w:r>
        <w:t>Такой способ описания не подтверждает, что Заказчик исходил из характеристик товара российского происхождения, доступного к поставке и соответствующего требованиям национального режима.</w:t>
      </w:r>
    </w:p>
    <w:p>
      <w:r>
        <w:t>Указанное обстоятельство дополнительно подтверждает нарушение правил описания объекта закупки и порядка применения национального режима.</w:t>
      </w:r>
    </w:p>
    <w:p>
      <w:r>
        <w:t>Комиссия УФАС отклоняет возможный довод о том, что предметом закупки является не поставка товара, а выполнение работ.</w:t>
      </w:r>
    </w:p>
    <w:p>
      <w:r>
        <w:t>Закон о контрактной системе прямо распространяет национальный режим на товары, поставляемые при выполнении закупаемых работ.</w:t>
      </w:r>
    </w:p>
    <w:p>
      <w:r>
        <w:t>Иное толкование позволило бы обходить требования статьи 14 Закона о контрактной системе путем формального включения товара в состав работ, несмотря на то что такой товар фактически передается Заказчику и оплачивается за счет цены контракта.</w:t>
      </w:r>
    </w:p>
    <w:p>
      <w:r>
        <w:t>Комиссия УФАС также учитывает, что стоимость оборудования в локальной смете является существенной частью цены контракта.</w:t>
      </w:r>
    </w:p>
    <w:p>
      <w:r>
        <w:t>Следовательно, спорные товары не носят вспомогательный или случайный характер.</w:t>
      </w:r>
    </w:p>
    <w:p>
      <w:r>
        <w:t>Они формируют предметный результат закупки и должны регулироваться как товары, поставляемые при выполнении работ.</w:t>
      </w:r>
    </w:p>
    <w:p>
      <w:r>
        <w:t>Совокупность установленных обстоятельств свидетельствует, что извещение сформировано с нарушением требований Закона о контрактной системе.</w:t>
      </w:r>
    </w:p>
    <w:p>
      <w:r>
        <w:t>Нарушения являются существенными, поскольку затрагивают базовые условия участия в закупке: возможность предложить эквивалентное оборудование, возможность сформировать заявку через структурированные поля электронной площадки, возможность подтвердить происхождение товара и применить меры национального режима.</w:t>
      </w:r>
    </w:p>
    <w:p>
      <w:r>
        <w:t>При таких условиях потенциальные участники не находятся в равных условиях. Одни участники могут воспринимать извещение как закупку оборудования конкретной линейки, другие — как закупку с возможностью эквивалента, третьи не имеют технической возможности корректно заявить сведения о товаре российского происхождения.</w:t>
      </w:r>
    </w:p>
    <w:p>
      <w:r>
        <w:t>Такая неопределенность ограничивает количество участников закупки и препятствует достижению целей контрактной системы.</w:t>
      </w:r>
    </w:p>
    <w:p>
      <w:r>
        <w:t>Комиссия УФАС приходит к выводу, что жалоба является обоснованной в полном объеме.</w:t>
      </w:r>
    </w:p>
    <w:p>
      <w:r>
        <w:t>В действиях Заказчика установлено нарушение пункта 1 части 2 статьи 42 Закона о контрактной системе во взаимосвязи с пунктом 1 части 1 статьи 33 Закона о контрактной системе, выразившееся в указании на товарные знаки без сопровождения словами «или эквивалент» и без подтверждения наличия предусмотренных законом исключений.</w:t>
      </w:r>
    </w:p>
    <w:p>
      <w:r>
        <w:t>В действиях Заказчика установлено нарушение пункта 5 части 1 статьи 42 Закона о контрактной системе во взаимосвязи с частью 6 статьи 23 Закона о контрактной системе, выразившееся в неприменении обязательных позиций КТРУ при описании оборудования, поставляемого при выполнении работ.</w:t>
      </w:r>
    </w:p>
    <w:p>
      <w:r>
        <w:t>В действиях Заказчика установлено нарушение пункта 15 части 1 статьи 42 Закона о контрактной системе во взаимосвязи с частью 2 статьи 14 Закона о контрактной системе, выразившееся в ненадлежащем применении национального режима в отношении товаров, поставляемых при выполнении закупаемых работ.</w:t>
      </w:r>
    </w:p>
    <w:p>
      <w:r>
        <w:t>Комиссия УФАС учитывает, что по результатам рассмотрения иной жалобы на указанную закупку ранее выдано обязательное для исполнения предписание об устранении нарушений законодательства о контрактной системе.</w:t>
      </w:r>
    </w:p>
    <w:p>
      <w:r>
        <w:t>С учетом ранее выданного предписания по данной закупке, необходимости исключить дублирование распорядительных требований и возможности устранения выявленных нарушений в рамках исполнения ранее выданного предписания Комиссия УФАС приходит к выводу об отсутствии оснований для выдачи повторного предписания по настоящему делу.</w:t>
      </w:r>
    </w:p>
    <w:p>
      <w:r>
        <w:t>Комиссия УФАС, руководствуясь ст. 42, 43, 48, 99, 106 Закона о контрактной системе,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1. Признать жалобу ООО "ЭЛВИКОМ" обоснованной.</w:t>
      </w:r>
    </w:p>
    <w:p>
      <w:r>
        <w:t>2. Признать в действиях Заказчика нарушения пункта 5 части 1 статьи 42 Закона о контрактной системе, пункта 15 части 1 статьи 42 Закона о контрактной системе, пункта 1 части 2 статьи 42 Закона о контрактной системе.</w:t>
      </w:r>
    </w:p>
    <w:p>
      <w:r>
        <w:t>3. Предписание об устранении выявленных нарушений Закона о контрактной системе не выдавать в связи с выданным ранее.</w:t>
      </w:r>
    </w:p>
    <w:p>
      <w:r>
        <w:t>4. Передать соответствующему должностному лицу Санкт-Петербургского УФАС России материалы от 19.06.2026 по делу № 078/06/105-2640/2026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судебном порядке в течение трёх месяцев со дня принятия.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