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202600114959007583</w:t>
      </w:r>
    </w:p>
    <w:p>
      <w:r>
        <w:rPr>
          <w:b/>
        </w:rPr>
        <w:t xml:space="preserve">УФАС: </w:t>
      </w:r>
      <w:r>
        <w:t>УФАС по Санкт-Петербургу</w:t>
      </w:r>
    </w:p>
    <w:p>
      <w:r>
        <w:rPr>
          <w:b/>
        </w:rPr>
        <w:t xml:space="preserve">Дата решения: </w:t>
      </w:r>
      <w:r>
        <w:t>19.06.2026</w:t>
      </w:r>
    </w:p>
    <w:p>
      <w:r>
        <w:rPr>
          <w:b/>
        </w:rPr>
        <w:t xml:space="preserve">Исход: </w:t>
      </w:r>
      <w:r>
        <w:t>обоснована</w:t>
      </w:r>
    </w:p>
    <w:p>
      <w:r>
        <w:rPr>
          <w:b/>
        </w:rPr>
        <w:t xml:space="preserve">Закупка №: </w:t>
      </w:r>
      <w:r>
        <w:t>0372200059026000040</w:t>
      </w:r>
    </w:p>
    <w:p>
      <w:r>
        <w:rPr>
          <w:b/>
        </w:rPr>
        <w:t xml:space="preserve">Заказчик: </w:t>
      </w:r>
      <w:r>
        <w:t>Санкт-Петербургское государственное бюджетное учреждение дополнительного образования спортивная школа олимпийского резерва «Комплексная школа высшего спортивного мастерства»</w:t>
      </w:r>
    </w:p>
    <w:p>
      <w:r>
        <w:rPr>
          <w:b/>
        </w:rPr>
        <w:t xml:space="preserve">Заявитель: </w:t>
      </w:r>
      <w:r>
        <w:t>ООО «РГТН»</w:t>
      </w:r>
    </w:p>
    <w:p>
      <w:r>
        <w:rPr>
          <w:b/>
        </w:rPr>
        <w:t xml:space="preserve">Первоисточник в ЕИС: </w:t>
      </w:r>
      <w:r>
        <w:t>https://zakupki.gov.ru/epz/complaint/card/complaint-information.html?complaintNumber=202600114959007583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ДОПОЛНИТЕЛЬНОГО ОБРАЗОВАНИЯ СПОРТИВНАЯ ШКОЛА ОЛИМПИЙСКОГО РЕЗЕРВА "КОМПЛЕКСНАЯ ШКОЛА ВЫСШЕГО СПОРТИВНОГО МАСТЕРСТВА"</w:t>
              <w:br/>
              <w:t>Российская Федерация, 197022, Санкт-Петербург, Каменноостровский, Д.68</w:t>
            </w:r>
          </w:p>
        </w:tc>
      </w:tr>
    </w:tbl>
    <w:p>
      <w:r>
        <w:t>ООО "РГТН"</w:t>
      </w:r>
    </w:p>
    <w:p>
      <w:r>
        <w:t>115054, Г.МОСКВА,</w:t>
      </w:r>
    </w:p>
    <w:p>
      <w:r>
        <w:t>вн.тер.г. МУНИЦИПАЛЬНЫЙ ОКРУГ ЗАМОСКВОРЕЧЬЕ,</w:t>
      </w:r>
    </w:p>
    <w:p>
      <w:r>
        <w:t>ПЕР 5-Й МОНЕТЧИКОВСКИЙ, Д. 16, ПОМЕЩ. 2П</w:t>
      </w:r>
    </w:p>
    <w:p>
      <w:r>
        <w:t>РЕШЕНИЕ</w:t>
      </w:r>
    </w:p>
    <w:p>
      <w:r>
        <w:t>по делу № 078/06/105-2673/2026</w:t>
      </w:r>
    </w:p>
    <w:p>
      <w:r>
        <w:t>о нарушении законодательства о контрактной системе</w:t>
      </w:r>
    </w:p>
    <w:p>
      <w:r>
        <w:t>19.06.2026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ДОПОЛНИТЕЛЬНОГО ОБРАЗОВАНИЯ СПОРТИВНАЯ ШКОЛА ОЛИМПИЙСКОГО РЕЗЕРВА "КОМПЛЕКСНАЯ ШКОЛА ВЫСШЕГО СПОРТИВНОГО МАСТЕРСТВА" (далее – Заказчик):</w:t>
      </w:r>
    </w:p>
    <w:p>
      <w:r>
        <w:t>ООО "РГТН" (далее – Заявитель):</w:t>
      </w:r>
    </w:p>
    <w:p>
      <w:pPr>
        <w:pStyle w:val="Heading2"/>
      </w:pPr>
      <w:r>
        <w:t>описательная часть</w:t>
      </w:r>
    </w:p>
    <w:p>
      <w:r>
        <w:t>рассмотрев посредством системы видеоконференцсвязи жалобу Заявителя (вх. № 13979/26 от 16.06.2026) на действия СПБ ГБУ ДО СШОР "КШВСМ", (далее – Заказчик), при определении (подрядчика, исполнителя) путем проведения запроса котировок в электронной форме на поставку спортивного инвентаря (пневматические пульки и мишени) для отделения «Пулевая стрельба» СПб ГБУ ДО СШОР «КШВСМ» в 2026 году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13.05.2026 в единой информационной системе, номер извещения 0372200059026000040. Начальная (максимальная) цена контракта – 5213251,79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извещения о проведении закупки в части описания объекта закупки.</w:t>
      </w:r>
    </w:p>
    <w:p>
      <w:r>
        <w:t>По мнению Заявителя, Заказчик установил совокупность требований к пневматическим пулькам, которая фактически ориентирована на продукцию конкретного производителя и не позволяет предложить эквивалентный товар.</w:t>
      </w:r>
    </w:p>
    <w:p>
      <w:r>
        <w:t>Заявитель указывает, что спорные требования установлены для товаров № 2–5 и № 10–13 «RABBLO Premium Heavy» либо эквивалент.</w:t>
      </w:r>
    </w:p>
    <w:p>
      <w:r>
        <w:t>Заявитель полагает, что Заказчик установил избыточно узкие требования к весу пулек. По позиции Заявителя, производители спортивных пулек указывают вес на упаковке заводским способом, как правило, с точностью до двух знаков после запятой. Установление Заказчиком значений с большей степенью детализации не подтверждено объективной потребностью и затрудняет подтверждение соответствия товара требованиям извещения.</w:t>
      </w:r>
    </w:p>
    <w:p>
      <w:r>
        <w:t>Также Заявитель указывает, что требование к упаковке «металлическая банка с закручивающейся герметичной крышкой» характерно для товара конкретного производителя и не относится к функциональным, техническим, качественным или эксплуатационным характеристикам самих пулек.</w:t>
      </w:r>
    </w:p>
    <w:p>
      <w:r>
        <w:t>По позиции Заявителя, Заказчик описал не потребность в спортивных пульках с определенными стрелковыми характеристиками, а конкретное товарное исполнение отдельной линейки продукции.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Заказчик пояснил, что спорные характеристики обусловлены спецификой спорта высших достижений, использованием пневматического оружия разных моделей и необходимостью достижения стабильных показателей точности при тренировочной и соревновательной деятельности.</w:t>
      </w:r>
    </w:p>
    <w:p>
      <w:r>
        <w:t>Заказчик указал, что вес, диаметр, кучность, класс пулек и упаковка имеют значение для обеспечения качества выстрела, сохранности товара и достижения спортивного результата.</w:t>
      </w:r>
    </w:p>
    <w:p>
      <w:r>
        <w:t>Информация, изложенная в жалобе, пояснения представителей сторон, представленные документы подтверждают следующие обстоятельства:</w:t>
      </w:r>
    </w:p>
    <w:p>
      <w:r>
        <w:t>Извещение о проведении запроса котировок в электронной форме № 0372200059026000040 размещено Заказчиком в ЕИС.</w:t>
      </w:r>
    </w:p>
    <w:p>
      <w:r>
        <w:t>Объектом закупки является поставка спортивного инвентаря — пневматических пулек и мишеней для отделения «Пулевая стрельба» СПб ГБУ ДО СШОР «КШВСМ» в 2026 году.</w:t>
      </w:r>
    </w:p>
    <w:p>
      <w:r>
        <w:t>Начальная максимальная цена контракта составляет 5 213 251,79 руб.</w:t>
      </w:r>
    </w:p>
    <w:p>
      <w:r>
        <w:t>В описании объекта закупки Заказчик указал код ОКПД2 32.30.15.150 «Инвентарь для пулевой и стендовой стрельбы, кроме оружия и боеприпасов».</w:t>
      </w:r>
    </w:p>
    <w:p>
      <w:r>
        <w:t>Для пулек Заказчик применил позицию КТРУ 32.30.15.150-00000011 «Пули для спортивного пневматического оружия».</w:t>
      </w:r>
    </w:p>
    <w:p>
      <w:r>
        <w:t>Для мишеней Заказчик применил позиции КТРУ и ККН, соответствующие мишеням для пулевой стрельбы.</w:t>
      </w:r>
    </w:p>
    <w:p>
      <w:r>
        <w:t>Закупка производится для обеспечения спортивным инвентарем отделения «Пулевая стрельба» СПб ГБУ ДО СШОР «КШВСМ» с учетом федерального стандарта спортивной подготовки по виду спорта «пулевая стрельба».</w:t>
      </w:r>
    </w:p>
    <w:p>
      <w:r>
        <w:t>Из описания объекта закупки следует, что Заказчик закупает, в том числе, товары № 2–5 и № 10–13 «RABBLO Premium Heavy» либо эквивалент.</w:t>
      </w:r>
    </w:p>
    <w:p>
      <w:r>
        <w:t>Для указанных позиций Заказчик установил совокупность характеристик, включая тип пули, калибр, количество штук в упаковке, материал, вес, кучность при контрольном отстреле, класс, диаметр головной части пульки и упаковку.</w:t>
      </w:r>
    </w:p>
    <w:p>
      <w:r>
        <w:t>По спорным позициям установлены требования к весу пулек с высокой степенью детализации, а также требование к упаковке в виде металлической банки с закручивающейся герметичной крышкой.</w:t>
      </w:r>
    </w:p>
    <w:p>
      <w:r>
        <w:t>В описании объекта закупки Заказчик указал обоснование применения дополнительных характеристик. Оно сводится к тому, что характеристики КТРУ не являются исчерпывающими, а дополнительные характеристики необходимы для спорта высших достижений, подбора пулек под разные модели оружия, обеспечения кучности, сохранности и исключения окисления свинцового сплава.</w:t>
      </w:r>
    </w:p>
    <w:p>
      <w:r>
        <w:t>Комиссия УФАС исходит из следующего.</w:t>
      </w:r>
    </w:p>
    <w:p>
      <w:r>
        <w:t>Пункт 1 части 2 статьи 42 Закона о контрактной системе обязывает Заказчика включить в извещение описание объекта закупки, сформированное в соответствии со статьей 33 Закона о контрактной системе.</w:t>
      </w:r>
    </w:p>
    <w:p>
      <w:r>
        <w:t>Пункт 1 части 1 статьи 33 Закона о контрактной системе предусматривает, что в описании объекта закупки указываются функциональные, технические, качественные и эксплуатационные характеристики объекта закупки. При этом в описание объекта закупки не должны включаться требования к товарам, если такие требования влекут ограничение количества участников закупки.</w:t>
      </w:r>
    </w:p>
    <w:p>
      <w:r>
        <w:t>Часть 2 статьи 33 Закона о контрактной системе требует, чтобы описание объекта закупки содержало показатели, позволяющие определить соответствие закупаемого товара установленным требованиям. Такие показатели должны быть объективными, проверяемыми и связанными с потребностью Заказчика.</w:t>
      </w:r>
    </w:p>
    <w:p>
      <w:r>
        <w:t>Нормативное регулирование применения КТРУ также не освобождает Заказчика от соблюдения статьи 33 Закона о контрактной системе.</w:t>
      </w:r>
    </w:p>
    <w:p>
      <w:r>
        <w:t>В силу части 5 статьи 23 Закона о контрактной системе формирование и ведение КТРУ обеспечиваются в ЕИС. Часть 6 статьи 23 Закона о контрактной системе относит установление порядка формирования, ведения и правил использования КТРУ к полномочиям Правительства Российской Федерации.</w:t>
      </w:r>
    </w:p>
    <w:p>
      <w:r>
        <w:t>Постановлением Правительства Российской Федерации от 08.02.2017 № 145 утверждены Правила использования КТРУ.</w:t>
      </w:r>
    </w:p>
    <w:p>
      <w:r>
        <w:t>Пункт 4 Правил использования КТРУ обязывает заказчиков применять информацию, включенную в позицию каталога, с даты начала ее обязательного применения. Такая информация используется, в том числе, при формировании извещения и описания объекта закупки.</w:t>
      </w:r>
    </w:p>
    <w:p>
      <w:r>
        <w:t>Пункт 5 Правил использования КТРУ допускает включение в извещение дополнительной информации, а также дополнительных потребительских свойств, в том числе функциональных, технических, качественных и эксплуатационных характеристик товара, которые не предусмотрены в позиции каталога, но только в соответствии со статьей 33 Закона о контрактной системе.</w:t>
      </w:r>
    </w:p>
    <w:p>
      <w:r>
        <w:t>Пункт 6 Правил использования КТРУ требует включить в описание объекта закупки обоснование необходимости использования такой дополнительной информации при наличии описания товара, работы или услуги в позиции каталога.</w:t>
      </w:r>
    </w:p>
    <w:p>
      <w:r>
        <w:t>Следовательно, применение КТРУ означает не право Заказчика произвольно расширить описание объекта закупки, а обязанность использовать каталог в системе с иными требованиями Закона о контрактной системе.</w:t>
      </w:r>
    </w:p>
    <w:p>
      <w:r>
        <w:t>КТРУ обеспечивает единообразие описания товаров, работ и услуг. Он не отменяет запрет на ограничение количества участников закупки и не заменяет обязанность Заказчика подтвердить объективную необходимость спорных характеристик.</w:t>
      </w:r>
    </w:p>
    <w:p>
      <w:r>
        <w:t>Если Заказчик применяет позицию КТРУ и дополняет ее характеристиками, не предусмотренными каталогом, такие характеристики должны соответствовать трем условиям.</w:t>
      </w:r>
    </w:p>
    <w:p>
      <w:r>
        <w:t>Они должны быть связаны с фактической потребностью Заказчика.</w:t>
      </w:r>
    </w:p>
    <w:p>
      <w:r>
        <w:t>Они должны позволять определить соответствие товара требованиям извещения объективным и проверяемым способом.</w:t>
      </w:r>
    </w:p>
    <w:p>
      <w:r>
        <w:t>Они не должны формировать совокупность условий, ориентированную на товар конкретного производителя, если такая совокупность не подтверждена объективной необходимостью.</w:t>
      </w:r>
    </w:p>
    <w:p>
      <w:r>
        <w:t>Указанный подход согласуется со статьей 19 Закона о контрактной системе.</w:t>
      </w:r>
    </w:p>
    <w:p>
      <w:r>
        <w:t>По смыслу статьи 19 Закона о контрактной системе нормирование в сфере закупок направлено на установление требований к закупаемым товарам, работам и услугам, включая требования к количеству, потребительским свойствам и иным характеристикам. Такие требования должны обеспечивать государственные и муниципальные нужды, но не должны приводить к закупке товаров с избыточными потребительскими свойствами.</w:t>
      </w:r>
    </w:p>
    <w:p>
      <w:r>
        <w:t>Применительно к настоящему делу статья 19 Закона о контрактной системе имеет значение для оценки соразмерности спорных характеристик.</w:t>
      </w:r>
    </w:p>
    <w:p>
      <w:r>
        <w:t>Заказчик вправе закупать инвентарь, необходимый для подготовки спортсменов высокого уровня. Однако даже такая потребность должна быть выражена через необходимые и достаточные характеристики товара.</w:t>
      </w:r>
    </w:p>
    <w:p>
      <w:r>
        <w:t>Описание объекта закупки не должно подменять нормирование индивидуальными предпочтениями к товарной линейке, упаковке или иному исполнению, если такие признаки не доказаны как необходимые для достижения цели закупки.</w:t>
      </w:r>
    </w:p>
    <w:p>
      <w:r>
        <w:t>Право Заказчика определить объект закупки не является абсолютным.</w:t>
      </w:r>
    </w:p>
    <w:p>
      <w:r>
        <w:t>Заказчик вправе учитывать специфику своей деятельности. Для спортивной школы олимпийского резерва допустимо устанавливать повышенные требования к спортивному инвентарю, если такие требования связаны с тренировочным процессом, уровнем подготовки спортсменов и фактическими условиями использования товара.</w:t>
      </w:r>
    </w:p>
    <w:p>
      <w:r>
        <w:t>Однако такая специфика не освобождает Заказчика от обязанности описывать товар нейтрально, через объективные потребительские свойства, а не через совокупность признаков, воспроизводящих товарную линейку конкретного производителя.</w:t>
      </w:r>
    </w:p>
    <w:p>
      <w:r>
        <w:t>Формальное указание слов «или эквивалент» также не исключает нарушения статьи 33 Закона о контрактной системе.</w:t>
      </w:r>
    </w:p>
    <w:p>
      <w:r>
        <w:t>Эквивалентность должна быть реальной. Участник закупки должен иметь возможность предложить иной товар, который отвечает потребности Заказчика по существу. Если совокупность характеристик оставляет на рынке только товар одного производителя либо не позволяет подтвердить соответствие товара объективным способом, указание «или эквивалент» носит формальный характер.</w:t>
      </w:r>
    </w:p>
    <w:p>
      <w:r>
        <w:t>В рассматриваемом случае Заказчик не ограничился установлением функционально значимых показателей пулек: калибра, веса, кучности, диаметра и количества в упаковке.</w:t>
      </w:r>
    </w:p>
    <w:p>
      <w:r>
        <w:t>Заказчик сформировал описание спорных позиций через совокупность жестких и узких характеристик: конкретную линейку товара, узкие значения веса, класс, диаметр головной части, показатель кучности и конкретный способ упаковки.</w:t>
      </w:r>
    </w:p>
    <w:p>
      <w:r>
        <w:t>Комиссия УФАС признает, что вес пули, ее диаметр и кучность могут иметь значение для пулевой стрельбы.</w:t>
      </w:r>
    </w:p>
    <w:p>
      <w:r>
        <w:t>Вместе с тем, Заказчик должен доказать не абстрактную значимость таких характеристик, а объективную необходимость именно тех значений и именно той совокупности условий, которые установлены в извещении.</w:t>
      </w:r>
    </w:p>
    <w:p>
      <w:r>
        <w:t>Такое доказательство Заказчик не представил.</w:t>
      </w:r>
    </w:p>
    <w:p>
      <w:r>
        <w:t>Пояснения Заказчика о спорте высших достижений, разных моделях оружия и необходимости стабильного выстрела подтверждают значение качественного спортивного инвентаря. Однако они не объясняют, почему потребность Заказчика может быть удовлетворена только пульками с установленными значениями веса и в конкретной упаковке.</w:t>
      </w:r>
    </w:p>
    <w:p>
      <w:r>
        <w:t>Заказчик не представил документы, из которых следовало бы, что спортсмены учреждения используют оружие, требующее именно указанных значений веса по каждой спорной позиции.</w:t>
      </w:r>
    </w:p>
    <w:p>
      <w:r>
        <w:t>Заказчик не представил протоколы контрольных отстрелов, заключения тренерского состава, методические документы, технические паспорта оружия либо иные сведения, подтверждающие, что близкие по характеристикам пули иных производителей не обеспечивают потребность Заказчика.</w:t>
      </w:r>
    </w:p>
    <w:p>
      <w:r>
        <w:t>Заказчик также не представил сопоставительный анализ рынка, подтверждающий наличие нескольких независимых производителей, товары которых соответствуют всем требованиям извещения в совокупности.</w:t>
      </w:r>
    </w:p>
    <w:p>
      <w:r>
        <w:t>Представленные Заказчиком сведения не опровергают доводы Заявителя.</w:t>
      </w:r>
    </w:p>
    <w:p>
      <w:r>
        <w:t>Из пояснений Заказчика следует, что он обосновывает отдельные характеристики товара, в том числе значимость веса, кучности и упаковки. Однако предмет проверки состоит не в том, имеет ли каждая характеристика значение сама по себе, а в том, приводит ли их совокупность к ограничению количества участников закупки.</w:t>
      </w:r>
    </w:p>
    <w:p>
      <w:r>
        <w:t>Заказчик не доказал наличие на рынке нескольких товаров разных производителей, которые одновременно соответствуют всем установленным требованиям: наименованию и назначению товара, позиции КТРУ, типу пули, калибру, количеству штук в упаковке, материалу, весу, кучности, классу, диаметру головной части и упаковке.</w:t>
      </w:r>
    </w:p>
    <w:p>
      <w:r>
        <w:t>Выборочное подтверждение отдельных характеристик не доказывает отсутствие ограничения конкуренции.</w:t>
      </w:r>
    </w:p>
    <w:p>
      <w:r>
        <w:t>Если товар одного производителя соответствует весу, но не соответствует упаковке, либо соответствует упаковке, но не подтверждает требуемый вес и кучность, такой товар не может рассматриваться как доказательство того, что спорная совокупность требований является конкурентной.</w:t>
      </w:r>
    </w:p>
    <w:p>
      <w:r>
        <w:t>Комиссия УФАС отдельно оценивает требование к упаковке «металлическая банка с закручивающейся герметичной крышкой».</w:t>
      </w:r>
    </w:p>
    <w:p>
      <w:r>
        <w:t>Указанное требование не описывает непосредственно функциональные, технические или качественные характеристики пули.</w:t>
      </w:r>
    </w:p>
    <w:p>
      <w:r>
        <w:t>Потребность Заказчика в сохранности товара, защите от повреждений, загрязнения, влаги и окисления может быть описана нейтрально: через требования к сохранности, герметичности, целостности упаковки и защите товара при транспортировке и хранении.</w:t>
      </w:r>
    </w:p>
    <w:p>
      <w:r>
        <w:t>Вместо этого Заказчик установил конкретное конструктивное исполнение упаковки.</w:t>
      </w:r>
    </w:p>
    <w:p>
      <w:r>
        <w:t>Такое условие ориентирует участников не на достижение функционального результата, а на воспроизведение конкретного способа упаковки, характерного для определенного товара.</w:t>
      </w:r>
    </w:p>
    <w:p>
      <w:r>
        <w:t>Заказчик не доказал, что пульки в иной упаковке не могут обеспечить сохранность, точность, безопасность или иные значимые свойства товара.</w:t>
      </w:r>
    </w:p>
    <w:p>
      <w:r>
        <w:t>Комиссия УФАС также учитывает довод Заявителя о том, что спорные требования к весу сформулированы с такой степенью детализации, которая не соответствует обычному способу маркировки товара производителями.</w:t>
      </w:r>
    </w:p>
    <w:p>
      <w:r>
        <w:t>Из материалов жалобы следует, что производителем на упаковке пулек указывается вес с точностью до двух знаков после запятой. При этом требования Заказчика сформированы таким образом, что подтверждение соответствия по отдельным позициям зависит от значений, которые не следуют из обычной маркировки товара.</w:t>
      </w:r>
    </w:p>
    <w:p>
      <w:r>
        <w:t>Заказчик не установил в извещении понятный и проверяемый порядок подтверждения указанных значений при приемке товара.</w:t>
      </w:r>
    </w:p>
    <w:p>
      <w:r>
        <w:t>Заказчик не указал, каким способом будет проверяться вес пулек по спорным позициям, какое оборудование будет использоваться, какая погрешность измерения допустима, как будут отбираться образцы и каким документом будет фиксироваться результат проверки.</w:t>
      </w:r>
    </w:p>
    <w:p>
      <w:r>
        <w:t>При таких условиях участник закупки не может достоверно определить, каким образом его товар будет признан соответствующим требованиям контракта при поставке.</w:t>
      </w:r>
    </w:p>
    <w:p>
      <w:r>
        <w:t>Такое описание объекта закупки создает риск произвольной приемки и не соответствует требованию объективности и проверяемости, вытекающему из статьи 33 Закона о контрактной системе.</w:t>
      </w:r>
    </w:p>
    <w:p>
      <w:r>
        <w:t>Ссылка Заказчика на применение КТРУ не меняет правовой оценки.</w:t>
      </w:r>
    </w:p>
    <w:p>
      <w:r>
        <w:t>Заказчик применил позицию КТРУ для пулек спортивного пневматического оружия. Вместе с тем, нарушение состоит не в самом факте применения КТРУ, а в том, что при дополнении позиции КТРУ Заказчик включил в описание объекта закупки совокупность дополнительных характеристик, объективная необходимость которой документально не подтверждена.</w:t>
      </w:r>
    </w:p>
    <w:p>
      <w:r>
        <w:t>КТРУ не является инструментом обхода статьи 33 Закона о контрактной системе и требований нормирования.</w:t>
      </w:r>
    </w:p>
    <w:p>
      <w:r>
        <w:t>Даже при использовании позиции каталога Заказчик обязан сформировать описание объекта закупки так, чтобы оно отражало необходимую и достаточную потребность, не содержало избыточных потребительских свойств и не ограничивало количество участников закупки.</w:t>
      </w:r>
    </w:p>
    <w:p>
      <w:r>
        <w:t>В данном случае Заказчик вправе установить требования к классу и точности пулек, если это связано с подготовкой спортсменов. Но он обязан описать такие требования через объективные и проверяемые показатели, позволяющие предложить эквивалент, а не через признаки, фактически воспроизводящие товар конкретной линейки.</w:t>
      </w:r>
    </w:p>
    <w:p>
      <w:r>
        <w:t>Комиссия УФАС также учитывает, что спорная закупка ранее уже была предметом контроля. После внесения изменений Заказчик сохранил конструкцию описания, при которой спорные товары обозначены через конкретные товарные линейки с последующим формальным указанием «или эквивалент».</w:t>
      </w:r>
    </w:p>
    <w:p>
      <w:r>
        <w:t>Такой подход не устраняет ограничительный характер описания, если эквивалентность фактически невозможна из-за совокупности установленных требований.</w:t>
      </w:r>
    </w:p>
    <w:p>
      <w:r>
        <w:t>Доводы Заявителя подтверждаются материалами дела.</w:t>
      </w:r>
    </w:p>
    <w:p>
      <w:r>
        <w:t>Заказчик доказательств, полностью опровергающих доводы Заявителя, не представил.</w:t>
      </w:r>
    </w:p>
    <w:p>
      <w:r>
        <w:t>Представленные Заказчиком сведения не позволяют Комиссии УФАС установить, что спорному описанию объекта закупки соответствует несколько товаров разных производителей.</w:t>
      </w:r>
    </w:p>
    <w:p>
      <w:pPr>
        <w:pStyle w:val="Heading2"/>
      </w:pPr>
      <w:r>
        <w:t>мотивировочная часть</w:t>
      </w:r>
    </w:p>
    <w:p>
      <w:r>
        <w:t>При таких обстоятельствах Комиссия УФАС приходит к выводу, что описание объекта закупки сформировано с нарушением требований статьи 33 Закона о контрактной системе.</w:t>
      </w:r>
    </w:p>
    <w:p>
      <w:r>
        <w:t>Нарушение выразилось в установлении совокупности характеристик пневматических пулек по товарам № 2–5 и № 10–13, ориентированной на товар конкретного производителя и не подтвержденной объективной потребностью Заказчика.</w:t>
      </w:r>
    </w:p>
    <w:p>
      <w:r>
        <w:t>Указанные действия Заказчика привели к ограничению количества участников закупки, поскольку исключили возможность предложения эквивалентных товаров, соответствующих потребности Заказчика по существу.</w:t>
      </w:r>
    </w:p>
    <w:p>
      <w:r>
        <w:t>В действиях Заказчика установлено нарушение пункта 1 части 2 статьи 42 Закона о контрактной системе во взаимосвязи с пунктом 1 части 1 статьи 33 Закона о контрактной системе.</w:t>
      </w:r>
    </w:p>
    <w:p>
      <w:r>
        <w:t>Жалоба ООО «РГТН» является обоснованной.</w:t>
      </w:r>
    </w:p>
    <w:p>
      <w:r>
        <w:t>Выявленное нарушение является существенным, поскольку допущено на стадии формирования извещения и влияет на возможность участников подготовить заявку, предложить эквивалентный товар и участвовать в закупке на равных условиях.</w:t>
      </w:r>
    </w:p>
    <w:p>
      <w:r>
        <w:t>Устранение нарушения возможно путем внесения изменений в извещение о проведении закупки и описание объекта закупки.</w:t>
      </w:r>
    </w:p>
    <w:p>
      <w:r>
        <w:t>Заказчику необходимо исключить из описания объекта закупки характеристики, ориентированные на конкретное товарное исполнение, либо подтвердить их объективную необходимость надлежащими документами.</w:t>
      </w:r>
    </w:p>
    <w:p>
      <w:r>
        <w:t>При переработке описания Заказчику следует учитывать положения статьи 19 Закона о контрактной системе, статьи 33 Закона о контрактной системе и Правил использования КТРУ.</w:t>
      </w:r>
    </w:p>
    <w:p>
      <w:r>
        <w:t>Заказчику необходимо установить характеристики через функционально значимые и проверяемые показатели: калибр, допустимый диапазон веса, требования к точности и кучности, материал, количество в упаковке, требования к сохранности и защите товара при транспортировке и хранении.</w:t>
      </w:r>
    </w:p>
    <w:p>
      <w:r>
        <w:t>Требования к упаковке должны описывать необходимый результат, а не конкретное конструктивное исполнение упаковки, если такое исполнение не подтверждено обязательными требованиями или объективной потребностью Заказчика.</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"РГТН"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19.06.2026 по делу № 078/06/105-2673/2026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ДОПОЛНИТЕЛЬНОГО ОБРАЗОВАНИЯ СПОРТИВНАЯ ШКОЛА ОЛИМПИЙСКОГО РЕЗЕРВА "КОМПЛЕКСНАЯ ШКОЛА ВЫСШЕГО СПОРТИВНОГО МАСТЕРСТВА"</w:t>
              <w:br/>
              <w:t>Российская Федерация, 197022, Санкт-Петербург, Каменноостровский, Д.68</w:t>
            </w:r>
          </w:p>
        </w:tc>
      </w:tr>
    </w:tbl>
    <w:p>
      <w:r>
        <w:t>ООО "РГТН"</w:t>
      </w:r>
    </w:p>
    <w:p>
      <w:r>
        <w:t>115054, Г.МОСКВА,</w:t>
      </w:r>
    </w:p>
    <w:p>
      <w:r>
        <w:t>вн.тер.г. МУНИЦИПАЛЬНЫЙ ОКРУГ ЗАМОСКВОРЕЧЬЕ,</w:t>
      </w:r>
    </w:p>
    <w:p>
      <w:r>
        <w:t>ПЕР 5-Й МОНЕТЧИКОВСКИЙ, Д. 16, ПОМЕЩ. 2П</w:t>
      </w:r>
    </w:p>
    <w:p>
      <w:r>
        <w:t>ПРЕДПИСАНИЕ</w:t>
      </w:r>
    </w:p>
    <w:p>
      <w:r>
        <w:t>по делу № 078/06/105-2673/2026</w:t>
      </w:r>
    </w:p>
    <w:p>
      <w:r>
        <w:t>об устранении нарушений законодательства о контрактной системе</w:t>
      </w:r>
    </w:p>
    <w:p>
      <w:r>
        <w:t>19.06.2026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078/06/105-2673/2026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 ДО СШОР "КШВСМ" и его комиссии устранить нарушение п. 1 ч. 2 ст. 42 Закона о контрактной системе и с этой целью:</w:t>
      </w:r>
    </w:p>
    <w:p>
      <w:r>
        <w:t>- отменить все протоколы, составленные в ходе проведения запроса котировок в электронной форме с номером реестровым номером закупки 0372200059026000040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0372200059026000040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24.07.2026 на адрес электронной почты: to78@fas.gov.ru.</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