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202600114959010385</w:t>
      </w:r>
    </w:p>
    <w:p>
      <w:r>
        <w:rPr>
          <w:b/>
        </w:rPr>
        <w:t xml:space="preserve">УФАС: </w:t>
      </w:r>
      <w:r>
        <w:t>УФАС по Санкт-Петербургу</w:t>
      </w:r>
    </w:p>
    <w:p>
      <w:r>
        <w:rPr>
          <w:b/>
        </w:rPr>
        <w:t xml:space="preserve">Дата решения: </w:t>
      </w:r>
      <w:r>
        <w:t>21.08.2026</w:t>
      </w:r>
    </w:p>
    <w:p>
      <w:r>
        <w:rPr>
          <w:b/>
        </w:rPr>
        <w:t xml:space="preserve">Исход: </w:t>
      </w:r>
      <w:r>
        <w:t>обоснована</w:t>
      </w:r>
    </w:p>
    <w:p>
      <w:r>
        <w:rPr>
          <w:b/>
        </w:rPr>
        <w:t xml:space="preserve">Закупка №: </w:t>
      </w:r>
      <w:r>
        <w:t>0372200277326000547</w:t>
      </w:r>
    </w:p>
    <w:p>
      <w:r>
        <w:rPr>
          <w:b/>
        </w:rPr>
        <w:t xml:space="preserve">Заказчик: </w:t>
      </w:r>
      <w:r>
        <w:t>ГБУЗ «Санкт-Петербургский клинический научно-практический центр специализированных видов медицинской помощи (Онкологический) имени Н.П. Напалкова»</w:t>
      </w:r>
    </w:p>
    <w:p>
      <w:r>
        <w:rPr>
          <w:b/>
        </w:rPr>
        <w:t xml:space="preserve">Заявитель: </w:t>
      </w:r>
      <w:r>
        <w:t>ООО «Горизонт»</w:t>
      </w:r>
    </w:p>
    <w:p>
      <w:r>
        <w:rPr>
          <w:b/>
        </w:rPr>
        <w:t xml:space="preserve">Первоисточник в ЕИС: </w:t>
      </w:r>
      <w:r>
        <w:t>https://zakupki.gov.ru/epz/complaint/card/complaint-information.html?complaintNumber=202600114959010385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ГБУЗ "СПБ КНПЦСВМП(О)"</w:t>
              <w:br/>
              <w:t>Российская Федерация, 197758, Санкт-Петербург, Песочный п, УЛ ЛЕНИНГРАДСКАЯ, 68А/ЛИТ.А</w:t>
              <w:br/>
              <w:t>ООО "ГОРИЗОНТ"</w:t>
              <w:br/>
              <w:t>191036, Г.САНКТ-ПЕТЕРБУРГ, вн.тер.г. МУНИЦИПАЛЬНЫЙ ОКРУГ СМОЛЬНИНСКОЕ, ПР-КТ СУВОРОВСКИЙ, Д. 2Б, ЛИТЕРА А, ПОМЕЩ. 6-Н, ПОМЕЩ. 304</w:t>
            </w:r>
          </w:p>
        </w:tc>
      </w:tr>
    </w:tbl>
    <w:p>
      <w:r>
        <w:t>РЕШЕНИЕ</w:t>
      </w:r>
    </w:p>
    <w:p>
      <w:r>
        <w:t>по делу № 078/06/105-3641/2026</w:t>
      </w:r>
    </w:p>
    <w:p>
      <w:r>
        <w:t>о нарушении законодательства о контрактной системе</w:t>
      </w:r>
    </w:p>
    <w:p>
      <w:r>
        <w:t>21.08.2026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 ГБУЗ "СПБ КНПЦСВМП(О)" (далее – Заказчик):,</w:t>
      </w:r>
    </w:p>
    <w:p>
      <w:r>
        <w:t>в отсутствие представителей ООО "ГОРИЗОНТ" (далее – Заявитель) уведомленных о заседании Комиссии УФАС,</w:t>
      </w:r>
    </w:p>
    <w:p>
      <w:pPr>
        <w:pStyle w:val="Heading2"/>
      </w:pPr>
      <w:r>
        <w:t>описательная часть</w:t>
      </w:r>
    </w:p>
    <w:p>
      <w:r>
        <w:t>рассмотрев посредством системы видеоконференцсвязи жалобу Заявителя (вх. № 19813/26 от 18.08.2026) на действия ГОСУДАРСТВЕННОЕ БЮДЖЕТНОЕ УЧРЕЖДЕНИЕ ЗДРАВООХРАНЕНИЯ "САНКТ-ПЕТЕРБУРГСКИЙ КЛИНИЧЕСКИЙ НАУЧНО-ПРАКТИЧЕСКИЙ ЦЕНТР СПЕЦИАЛИЗИРОВАННЫХ ВИДОВ МЕДИЦИНСКОЙ ПОМОЩИ (ОНКОЛОГИЧЕСКИЙ)", (далее – Комиссия по осуществлению закупок в соответствии с 44-ФЗ), при определении (подрядчика, исполнителя) путем проведения закупки на поставку мебели в 2026 году (извещение № 0372200277326000547)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15.07.2026 на Официальном сайте Единой информационной системы в сфере закупок www.zakupki.gov.ru, номер извещения 0372200277326000547. Начальная (максимальная) цена контракта – 16 817 717, 19 рублей.</w:t>
      </w:r>
    </w:p>
    <w:p>
      <w:r>
        <w:t>В жалобе Заявитель указал на неправомерные действия комиссии Заказчика по осуществлению закупок, выразившиеся, по мнению Заявителя, в неправомерном признании заявки участника соответствующей требованиям извещения об осуществлении закупки по результатам рассмотрения.</w:t>
      </w:r>
    </w:p>
    <w:p>
      <w:r>
        <w:t>Представитель Заказчика в ходе заседания Комиссии УФАС с доводами жалобы не согласился.</w:t>
      </w:r>
    </w:p>
    <w:p>
      <w:r>
        <w:t>Информация, изложенная в жалобе, имеющиеся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Электронный аукцион начинается с размещения в единой информационной системе извещения об осуществлении закупки (ч. 1 ст. 49 Закона о контрактной системе).</w:t>
      </w:r>
    </w:p>
    <w:p>
      <w:r>
        <w:t>Согласно пп. «а» п. 1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в соответствии с п. 4 ч.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п.п. 1 - 8 ч. 12 ст. 48 настоящего Федерального закона.</w:t>
      </w:r>
    </w:p>
    <w:p>
      <w:r>
        <w:t>Пунктами 1-8 ч. 12 ст. 48 Закона о контрактной системе установлено, что при рассмотрении вторых частей заявок на участие в закупке соответствующая заявка подлежит отклонению в случаях:</w:t>
      </w:r>
    </w:p>
    <w:p>
      <w:r>
        <w:t>- непредставления (за исключением случаев, предусмотренных настоящим Федеральным законом)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непредставления информации и документов, предусмотренных п.п. 2 и 3 ч. 6 ст.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 несоответствия участника закупки требованиям, установленным в извещении об осуществлении закупки в соответствии с ч. 1 ст. 31 настоящего Федерального закона, требованиям, установленным в извещении об осуществлении закупки в соответствии с ч.ч. 1.1, 2 и 2.1 (при наличии таких требований) ст. 31 настоящего Федерального закона;</w:t>
      </w:r>
    </w:p>
    <w:p>
      <w:r>
        <w:t>- предусмотренных нормативными правовыми актами, принятыми в соответствии со ст. 14 настоящего Федерального закона (за исключением случаев непредставления информации и документов, предусмотренных п. 5 ч. 1 ст. 43 настоящего Федерального закона);</w:t>
      </w:r>
    </w:p>
    <w:p>
      <w:r>
        <w:t>- непредставления информации и документов, предусмотренных п. 5 ч. 1 ст. 43 настоящего Федерального закона, если такие документы предусмотрены нормативными правовыми актами, принятыми в соответствии с ч. 3 ст. 14 настоящего Федерального закона (в случае установления в соответствии со ст. 14 настоящего Федерального закона в извещении об осуществлении закупки запрета допуска товаров, происходящих из иностранного государства или группы иностранных государств);</w:t>
      </w:r>
    </w:p>
    <w:p>
      <w:r>
        <w:t>- выявления отнесения участника закупки к организациям, предусмотренным п. 4 ст.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 предусмотренных ч. 6 ст. 45 настоящего Федерального закона;</w:t>
      </w:r>
    </w:p>
    <w:p>
      <w:r>
        <w:t>- выявления недостоверной информации, содержащейся в заявке на участие в закупке;</w:t>
      </w:r>
    </w:p>
    <w:p>
      <w:r>
        <w:t>В соответствии с п. 2 ч. 5 ст. 49 Закона о контрактной системе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п.п. 1, 2, 4 - 7 ч. 17 ст.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п. 1 ч. 6 ст. 49 Закона о контрактной системе оператор электронной площадки не позднее одного часа с момента получения направленного в соответствии с п. 2 ч. 5 настоящей статьи протокола подведения итогов определения поставщика (подрядчика, исполнителя) размещает в единой информационной системе и на электронной площадке - протокол подведения итогов определения поставщика (подрядчика, исполнителя).</w:t>
      </w:r>
    </w:p>
    <w:p>
      <w:r>
        <w:t>Как установлено ч. 5.1 ст. 106 Закона о контрактной системе представление информации и документов, предусмотренных ч.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
        <w:t>Протокол подведения итогов определения поставщика (подрядчика, исполнителя) от 14.08.2026 №ИЭА размещен в единой информационной системе 14.08.2026 в 12 часов 15 минут и содержит информацию об отклонении заявки участника по следующим основаниям:</w:t>
      </w:r>
    </w:p>
    <w:p>
      <w:r>
        <w:t>«п.8 ч.12 ст.48 выявление недостоверной информации в заявке. Участник закупки предлагает к поставке товар, не соответствующий требованиям, установленным Заказчиком в описании объекта закупки (Приложения № 1 к извещению), а именно: по позиции 2 необходим товар «Стол письменный» (ОКПД2 31.01.12.110). В заявке участника предложен товар с реестровым номером из РРПП 10413153, под этим номером в реестре представлен товар с ОКПД2 31.01.12.110 «Столы письменные деревянные для офисов, административных помещений». Согласно реестровой записи данный товар производится в соответствии с ГОСТ 16371-2014. Мебель. Общие технические условия. Однако при определении показателя «Соответствие нормативно-технической документации» участник, выбирая одно или несколько значений из предложенных, декларирует, что товар произведен в соответствии с ТУ производителя, не указывая в заявке ГОСТ, которому данный товар соответствует согласно реестровой записи. Таким образом, в заявке предоставлены недостоверные (противоречивые) сведения, не позволяющие определить фактически какому нормативному документу соответствует товар, предлагаемый к поставке. 1.2. В соответствии с Описанием объекта закупки к поставке по позициям 6 и 7 необходим товар «Шкаф для одежды деревянный» (ОКПД2 31.01.12.131). В заявке участника предложен товар с реестровым номером из РРПП 10413284, под этим номером в реестре представлен товар с ОКПД2 31.01.12.131 «Шкафы для одежды деревянные». Согласно реестровой записи данный товар производится в соответствии с ГОСТ 16371-2014. Мебель. Общие технические условия. Однако при определении показателя «Соответствие нормативно-технической документации» участник, выбирая одно или несколько значений из предложенных, декларирует, что товар произведен в соответствии с ТУ производителя, не указывая в заявке ГОСТ, которому данный товар соответствует согласно реестровой записи. Таким образом, в заявке предоставлены недостоверные (противоречивые) сведения, не позволяющие определить фактически какому нормативному документу соответствует товар, предлагаемый к поставке. 1.3. В соответствии с Описанием объекта закупки к поставке по позиции 10 требуется товар «Шкаф хозяйственный металлический» (ОКПД2 31.01.11.121). В заявке участника предложен товар с реестровым номером из РРПП 10413156, под этим номером реестре представлен товар «Шкафы для одежды металлические», что не соответствует требуемому товару по его назначению. Также, согласно реестровой записи, данный товар производится в соответствии с ГОСТ 16371-2014. Мебель. Общие технические условия. Однако, при определении показателя «Соответствие нормативно-технической документации», участник выбирая одно или несколько значений из предложенных, декларирует, что товар произведен в соответствии с ТУ производителя (не указывая в заявке ГОСТ, которому данный товар соответствует согласно реестровой записи). Таким образом, в заявке предоставлены недостоверные (противоречивые) сведения, не позволяющие определить фактически какому нормативному документу соответствует товар, предлагаемый к поставке, , кроме того были запрошены выписки, выписки с официального сайта росаккредитации, подтверждающие соответствие нормативно-технической документации , в соответствии с которой изготовлена продукция, что подтверждает позицию заказчика. Указание участником закупки произвольного реестрового номера каталога продукции не может свидетельствовать о соблюдении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
        <w:t>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(ч. 1 ст. 42 Закона о контрактной системе).</w:t>
      </w:r>
    </w:p>
    <w:p>
      <w:r>
        <w:t>Согласно п. 1 ч. 2 ст.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 33 настоящего Федерального закона.</w:t>
      </w:r>
    </w:p>
    <w:p>
      <w:r>
        <w:t>В соответствии с п.п. 1-2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В силу ч. 2 ст. 33 Закона о контрактной системе, описание объекта закупки в соответствии с требованиями, указанными в ч.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Требования в отношении закупаемых товаров установлены Заказчиком в структурированной форме извещения об осуществлении закупки.</w:t>
      </w:r>
    </w:p>
    <w:p>
      <w:r>
        <w:t>На основании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Закона о контрактной системе.</w:t>
      </w:r>
    </w:p>
    <w:p>
      <w:r>
        <w:t>В илу ч. 1 ст. 14 Закона о контрактной системе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t>В соответствии с пп. «б» п. 1 ч. 2 ст. 14 Закона о контрактной системе Правительство Российской Федерации вправе с учетом положений части 3 настоящей статьи принимать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При этом, согласно п. 2 ч. 2 ст. 14 Закона о контрактной системе Правительство Российской Федерации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В силу пп. а) п. 1 ч. 2 ст. 14 Закона о контрактной системе при осуществлении закупки товара если Правительством Российской Федерации установлен предусмотренный подпунктом "а" пункта 1 части 2 настоящей статьи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
        <w:t>Как установлено материалами дела предметом закупки является поставка товара, данная товарная позиция включена в приложение № 2, утвержденное Постановлением № 1875.</w:t>
      </w:r>
    </w:p>
    <w:p>
      <w:r>
        <w:t>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приняты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П. 3 Постановления № 1875 Установлено,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Как установлено материалами дела предметом закупки является поставка товара, данная товарная позиция включена в приложение № 2, утвержденное Постановлением № 1875.</w:t>
      </w:r>
    </w:p>
    <w:p>
      <w:r>
        <w:t>В этой связи указание (декларирование) номеров реестровых записей из реестра и совокупного количества баллов (при наличии) участником закупки на этапе подачи заявок является подтверждением производства промышленной продукции (товара) на территории Российской Федерации.</w:t>
      </w:r>
    </w:p>
    <w:p>
      <w:r>
        <w:t>В свою очередь, приказом Минпромторга России от 29 мая 2020 г. N 1755 утвержден Порядок формирования и ведения реестра, включая порядок предоставления выписки из него и ее форму (далее - Порядок).</w:t>
      </w:r>
    </w:p>
    <w:p>
      <w:r>
        <w:t>В соответствии с пунктом 2 Порядка ведение реестра осуществляется Минпромторгом России в электронном виде путем формирования, изменения и (или) исключения реестровых записей с использованием государственной информационной системы промышленности (далее - ГИСП).</w:t>
      </w:r>
    </w:p>
    <w:p>
      <w:r>
        <w:t>При этом Порядком установлено, что основанием для внесения в реестр информации о российской промышленной продукции является наличие заключения Минпромторга России о подтверждении производства промышленной продукции на территории Российской Федерации (далее - заключение), выдаваемого в соответствии с постановлением N 719.</w:t>
      </w:r>
    </w:p>
    <w:p>
      <w:r>
        <w:t>Пункт 4 Порядка предусматривает перечень сведений, которые включаются в реестр. Внесение в реестр сведений о выданных заключениях осуществляется ГИСП автоматически в течение 1 рабочего дня со дня выдачи заключения и размещается в разделе "Реестр российской промышленной продукции" ГИСП по адресу - https://gisp.gov.ru/pp719v2/pub/prod/.</w:t>
      </w:r>
    </w:p>
    <w:p>
      <w:r>
        <w:t>В свою очередь, в соответствии с абзацем восьмым пункта 2 Правил выдачи заключения, утвержденных постановлением N 719 (далее - Правила), каталогом продукции ГИСП является систематизированный перечень промышленной продукции, сформированный на основе Общероссийского классификатора продукции по видам экономической деятельности ОК 034-2014 и включающий в себя информацию в соответствии с настоящими Правилами и Правилами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утвержденными постановлением Правительства Российской Федерации от 8 февраля 2017 г. N 145 (далее - каталог ГИСП).</w:t>
      </w:r>
    </w:p>
    <w:p>
      <w:r>
        <w:t>Приказом Минпромторга России от 11 августа 2022 г. N 3342 Российскому фонду технологического развития были переданы функции оператора ГИСП, в том числе - формирование информации для включения в ГИСП, обеспечение с использованием современных технологий бесперебойной эксплуатации технических средств ГИСП, а также представление в установленном порядке ее пользователям, обеспечение работоспособности ГИСП в соответствии с функциональными требованиями к системе, контроль формирования баз данных ГИСП.</w:t>
      </w:r>
    </w:p>
    <w:p>
      <w:r>
        <w:t>Опубликование промышленной продукции (товара) в каталоге ГИСП осуществляется на основании данных, представляемых субъектами деятельности в сфере промышленности для целей соответствия положениям постановления Правительства Российской Федерации от 21 декабря 2017 г. N 1604.</w:t>
      </w:r>
    </w:p>
    <w:p>
      <w:r>
        <w:t>Так, соответствующий каталог ГИСП расположен по адресу - https://gisp.gov.ru/goods/#/.</w:t>
      </w:r>
    </w:p>
    <w:p>
      <w:r>
        <w:t>При этом, информация из каталога ГИСП может содержать отличную информацию от той, которая была внесена в реестр, и носить ознакомительный характер. Также не вся промышленная продукция (товар), фигурирующая в вышеуказанном каталоге, может быть включена в реестр.</w:t>
      </w:r>
    </w:p>
    <w:p>
      <w:r>
        <w:t>Указанная позиция нашла своё отражение в Письме Минпромторга России от 04.10.2023 N 106238/12 &lt;О применении Постановлений Правительства РФ от 30.04.2020 N 616 и N 617&gt;.</w:t>
      </w:r>
    </w:p>
    <w:p>
      <w:r>
        <w:t>В соответствии с Описанием объекта закупки к поставке по позиции 10 требуется товар «Шкаф хозяйственный металлический» (ОКПД2 31.01.11.121). В заявке участника предложен товар с реестровым номером из РРПП 10413156, под этим номером реестре представлен товар «Шкафы для одежды металлические», что не соответствует требуемому товару по его назначению. Также, согласно реестровой записи, данный товар производится в соответствии с ГОСТ 16371-2014. Мебель. Общие технические условия. Однако, при определении показателя «Соответствие нормативно-технической документации», участник выбирая одно или несколько значений из предложенных, декларирует, что товар произведен в соответствии с ТУ производителя (не указывая в заявке ГОСТ, которому данный товар соответствует согласно реестровой записи).</w:t>
      </w:r>
    </w:p>
    <w:p>
      <w:r>
        <w:t>Анализ заявки Заявителя показал, что в ней предложена продукция, изготовленная по ГОСТ, в том числе удовлетворяющая требованиям Заказчика.</w:t>
      </w:r>
    </w:p>
    <w:p>
      <w:r>
        <w:t>Кроме того, относительно несоответствий номера реестровой записи и характеристик, информация из каталога ГИСП может содержать отличную информацию от той, которая была внесена в реестр, и носить ознакомительный характер.</w:t>
      </w:r>
    </w:p>
    <w:p>
      <w:r>
        <w:t>Таким образом, аукционной комиссией Заказчика ненадлежащим образом осуществлена процедура рассмотрения заявок.</w:t>
      </w:r>
    </w:p>
    <w:p>
      <w:r>
        <w:t>К аналогичным выводам Комиссия УФАС пришла в отношении второго основания для отклонения заявки участника.</w:t>
      </w:r>
    </w:p>
    <w:p>
      <w:r>
        <w:t>Жалоба признана обоснованной.</w:t>
      </w:r>
    </w:p>
    <w:p>
      <w:r>
        <w:t>В результате проведения внеплановой проверки на основании п. 1 ч. 15 ст. 99 Закона о контрактной системе были установлены следующие обстоятельства.</w:t>
      </w:r>
    </w:p>
    <w:p>
      <w:r>
        <w:t>В силу ч. 3 ст. 7 Закона о контрактной системе информация, предусмотренная Законом о контрактной системе и размещенная в единой информационной системе, должна быть полной и достоверной.</w:t>
      </w:r>
    </w:p>
    <w:p>
      <w:r>
        <w:t>Извещение об осуществлении закупки должно также содержать составленное в соответствии со ст. 33 Закона о закупках описание объекта закупки, которое прилагается к такому извещению в форме электронного документа или образа бумажного документа, сформированных без использования ЕИС (п. 1 ч. 2 ст. 42 Закона о закупках, пункт 2 формы, являющейся приложением к Положению о порядке формирования и размещения информации и документов в единой информационной системе в сфере закупок, о требованиях к их формам, утвержденному постановлением Правительства Российской Федерации от 27 января 2022 г. N 60) (далее - Положение).</w:t>
      </w:r>
    </w:p>
    <w:p>
      <w:r>
        <w:t>Следует отметить, что Положение устанавливает разные способы размещения в ЕИС информации и документов, формируемых с использованием ЕИС и сформированных без ее использования, в частности:</w:t>
      </w:r>
    </w:p>
    <w:p>
      <w:r>
        <w:t>- формирование информации и документов с использованием ЕИС осуществляется путем заполнения экранных форм веб-интерфейса ЕИС или путем представления в ЕИС электронного документа, содержащего сформированную информацию, посредством информационного взаимодействия (пункт 3 Положения);</w:t>
      </w:r>
    </w:p>
    <w:p>
      <w:r>
        <w:t>- документы, сформированные без использования ЕИС, размещаются в ЕИС в форме электронного документа или образа бумажного документа (пункт 4 Положения).</w:t>
      </w:r>
    </w:p>
    <w:p>
      <w:pPr>
        <w:pStyle w:val="Heading2"/>
      </w:pPr>
      <w:r>
        <w:t>мотивировочная часть</w:t>
      </w:r>
    </w:p>
    <w:p>
      <w:r>
        <w:t>На основании изложенного при осуществлении закупки товара, работы, услуги, в отношении которых в каталоге отсутствуют позиции, извещение об осуществлении которой размещено в ЕИС с 1 октября 2023 г.:</w:t>
      </w:r>
    </w:p>
    <w:p>
      <w:r>
        <w:t>- описание объекта закупки в части характеристик, предусмотренных п. 1 ч. 1 ст. 33 Закона о контрактной системе, указывается в формируемом с использованием ЕИС извещении об осуществлении закупки на основании пункта 5 ч. 1 ст. 42 Закона о контрактной системе с учетом пункта 3 Положения;</w:t>
      </w:r>
    </w:p>
    <w:p>
      <w:r>
        <w:t>- описание объекта закупки, включающее также характеристики, предусмотренные п. 1 ч. 1 ст. 33 Закона о контрактной системе (то есть, полное описание объекта закупки), прилагается к извещению в качестве документа, сформированного без использования ЕИС.</w:t>
      </w:r>
    </w:p>
    <w:p>
      <w:r>
        <w:t>Кроме того, согласно п. 3 Постановления Правительства РФ от 27.01.2022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формирование информации и документов с использованием единой информационной системы осуществляется путем заполнения экранных форм веб-интерфейса единой информационной системы или путем представления в единую информационную систему электронного документа, содержащего сформированную информацию, посредством информационного взаимодействия единой информационной системы с иными информационными системами, используемыми субъектами единой информационной системы.</w:t>
      </w:r>
    </w:p>
    <w:p>
      <w:r>
        <w:t>Аналогичная позиция содержится в Информационном письме Минфина России от 25.09.2023 N 24-03-09/90944 "О размещении описания объекта закупки в единой информационной системе в сфере закупок".</w:t>
      </w:r>
    </w:p>
    <w:p>
      <w:r>
        <w:t>Анализ структурированной формы извещения об осуществлении закупки показал следующее.</w:t>
      </w:r>
    </w:p>
    <w:p>
      <w:r>
        <w:t>Так, например, в отношении товарной позиции Шкаф деревянный для документов Идентификатор: 219032569 31.01.12.139-00000001 Заказчиком установлены требования к характеристикам:</w:t>
      </w:r>
    </w:p>
    <w:tbl>
      <w:tblPr>
        <w:tblStyle w:val="TableGrid"/>
        <w:tblW w:type="auto" w:w="0"/>
        <w:tblLook w:firstColumn="1" w:firstRow="1" w:lastColumn="0" w:lastRow="0" w:noHBand="0" w:noVBand="1" w:val="04A0"/>
      </w:tblPr>
      <w:tblGrid>
        <w:gridCol w:w="2880"/>
        <w:gridCol w:w="2880"/>
        <w:gridCol w:w="2880"/>
      </w:tblGrid>
      <w:tr>
        <w:tc>
          <w:tcPr>
            <w:tcW w:type="dxa" w:w="2880"/>
          </w:tcPr>
          <w:p>
            <w:r>
              <w:t>Наименование характеристики</w:t>
            </w:r>
          </w:p>
        </w:tc>
        <w:tc>
          <w:tcPr>
            <w:tcW w:type="dxa" w:w="2880"/>
          </w:tcPr>
          <w:p>
            <w:r>
              <w:t>Значение характеристики</w:t>
            </w:r>
          </w:p>
        </w:tc>
        <w:tc>
          <w:tcPr>
            <w:tcW w:type="dxa" w:w="2880"/>
          </w:tcPr>
          <w:p>
            <w:r>
              <w:t>Единица измерения характеристики</w:t>
            </w:r>
          </w:p>
        </w:tc>
      </w:tr>
      <w:tr>
        <w:tc>
          <w:tcPr>
            <w:tcW w:type="dxa" w:w="2880"/>
          </w:tcPr>
          <w:p>
            <w:r>
              <w:t>12. Толщина топа шкафа выполненного из ЛДСП</w:t>
            </w:r>
          </w:p>
        </w:tc>
        <w:tc>
          <w:tcPr>
            <w:tcW w:type="dxa" w:w="2880"/>
          </w:tcPr>
          <w:p>
            <w:r>
              <w:t>22</w:t>
            </w:r>
          </w:p>
        </w:tc>
        <w:tc>
          <w:tcPr>
            <w:tcW w:type="dxa" w:w="2880"/>
          </w:tcPr>
          <w:p>
            <w:r>
              <w:t>Миллиметр</w:t>
            </w:r>
          </w:p>
        </w:tc>
      </w:tr>
      <w:tr>
        <w:tc>
          <w:tcPr>
            <w:tcW w:type="dxa" w:w="2880"/>
          </w:tcPr>
          <w:p>
            <w:r>
              <w:t>13. Толщина каркаса</w:t>
            </w:r>
          </w:p>
        </w:tc>
        <w:tc>
          <w:tcPr>
            <w:tcW w:type="dxa" w:w="2880"/>
          </w:tcPr>
          <w:p>
            <w:r>
              <w:t>16 мм</w:t>
            </w:r>
          </w:p>
        </w:tc>
        <w:tc>
          <w:tcPr>
            <w:tcW w:type="dxa" w:w="2880"/>
          </w:tcPr>
          <w:p>
            <w:r/>
          </w:p>
        </w:tc>
      </w:tr>
      <w:tr>
        <w:tc>
          <w:tcPr>
            <w:tcW w:type="dxa" w:w="2880"/>
          </w:tcPr>
          <w:p>
            <w:r/>
          </w:p>
        </w:tc>
        <w:tc>
          <w:tcPr>
            <w:tcW w:type="dxa" w:w="2880"/>
          </w:tcPr>
          <w:p>
            <w:r>
              <w:t>18 мм</w:t>
            </w:r>
          </w:p>
        </w:tc>
        <w:tc>
          <w:tcPr>
            <w:tcW w:type="dxa" w:w="2880"/>
          </w:tcPr>
          <w:p>
            <w:r/>
          </w:p>
        </w:tc>
      </w:tr>
      <w:tr>
        <w:tc>
          <w:tcPr>
            <w:tcW w:type="dxa" w:w="2880"/>
          </w:tcPr>
          <w:p>
            <w:r>
              <w:t>19. Ширина цоколя</w:t>
            </w:r>
          </w:p>
        </w:tc>
        <w:tc>
          <w:tcPr>
            <w:tcW w:type="dxa" w:w="2880"/>
          </w:tcPr>
          <w:p>
            <w:r>
              <w:t>≥ 75</w:t>
            </w:r>
          </w:p>
        </w:tc>
        <w:tc>
          <w:tcPr>
            <w:tcW w:type="dxa" w:w="2880"/>
          </w:tcPr>
          <w:p>
            <w:r>
              <w:t>Миллиметр</w:t>
            </w:r>
          </w:p>
        </w:tc>
      </w:tr>
    </w:tbl>
    <w:p>
      <w:r>
        <w:t>Таким образом, как установлено Комиссией УФАС, Заказчиком в отношении различных характеристик, сведения в отношении единиц измерения размещены хаотичным образом во всех столбцах структурированной формы извещения, как в не относимых «наименование характеристики», «значение характеристики», так и в относимом, соответствующем столбце «единица измерения характеристики».</w:t>
      </w:r>
    </w:p>
    <w:p>
      <w:r>
        <w:t>Вместе с тем, при указании значений характеристик, вышеуказанные особенности формирования извещения, не способствуют корректному представлению сведений, затрудняют для участников закупки подачу заявки в соответствии с требованиями извещения, позволяют членам комиссии Заказчика произвольным образом трактовать представление, либо непредставление сведений в отношении единиц измерения, что влечет за собой необоснованные отклонения заявок участников.</w:t>
      </w:r>
    </w:p>
    <w:p>
      <w:r>
        <w:t>Установление вышеуказанных противоречивых требований нарушает принципы, заложенные положениями ст. 7 Закона о контрактной системе, в частности противоречит п. 5 ч. 1 ст. 42 (ч. 3 ст. 7) Закона о контрактной системе.</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"ГОРИЗОНТ" обоснованной.</w:t>
      </w:r>
    </w:p>
    <w:p>
      <w:r>
        <w:t>2. Признать в действиях аукционной комиссии Заказчика нарушение пп. «а» п. 1 ч. 5 ст. 49 Закона о контрактной системе.</w:t>
      </w:r>
    </w:p>
    <w:p>
      <w:r>
        <w:t>3. Признать в действиях Заказчика нарушение п. 5 ч. 1 ст. 42 (ч. 3 ст.7) Закона о контрактной системе.</w:t>
      </w:r>
    </w:p>
    <w:p>
      <w:r>
        <w:t>4. Выдать Заказчику, его аукционной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5.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