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202600132489006176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15.04.2026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0373100072126000570</w:t>
      </w:r>
    </w:p>
    <w:p>
      <w:r>
        <w:rPr>
          <w:b/>
        </w:rPr>
        <w:t xml:space="preserve">Заказчик: </w:t>
      </w:r>
      <w:r>
        <w:t>Федеральное государственное бюджетное научное учреждение «Российский научный центр хирургии имени Академика Б.В. Петровского»</w:t>
      </w:r>
    </w:p>
    <w:p>
      <w:r>
        <w:rPr>
          <w:b/>
        </w:rPr>
        <w:t xml:space="preserve">Заявитель: </w:t>
      </w:r>
      <w:r>
        <w:t>ООО «Фирма ролитекс»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https://zakupki.gov.ru/epz/complaint/card/complaint-information.html?complaintNumber=202600132489006176</w:t>
      </w:r>
    </w:p>
    <w:p/>
    <w:p>
      <w:pPr>
        <w:pStyle w:val="Heading1"/>
      </w:pPr>
      <w:r>
        <w:t>Решение</w:t>
      </w:r>
    </w:p>
    <w:p>
      <w:r>
        <w:t>ФГБНУ «РНЦХ им. акад. Б.В.</w:t>
        <w:br/>
        <w:t>Петровского»</w:t>
        <w:br/>
        <w:t>korovina.ey@med.ru</w:t>
        <w:br/>
        <w:t>ООО «Фирма Ролитекс»</w:t>
        <w:br/>
        <w:t>3746802@mail.ru</w:t>
        <w:br/>
        <w:t>АО«ЕЭТП»</w:t>
        <w:br/>
        <w:t>ko@roseltorg.ru</w:t>
        <w:br/>
        <w:t>РЕШЕНИЕ</w:t>
        <w:br/>
        <w:t>по делу № 077/06/105-4593/2026 о нарушении</w:t>
        <w:br/>
        <w:t>законодательства о контрактной системе</w:t>
        <w:br/>
        <w:t>15.04.2026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</w:t>
        <w:br/>
        <w:t>Управления) в составе:</w:t>
        <w:br/>
        <w:t>Председательствующего – и.о. начальника отдела обжалования</w:t>
        <w:br/>
        <w:t>государственных закупок Е.А. Мироновой,</w:t>
        <w:br/>
        <w:t>Члены Комиссии:</w:t>
        <w:br/>
        <w:t>Ведущего специалиста-эксперта отдела обжалования государственных закупок</w:t>
        <w:br/>
        <w:t>М.В. Сорбучевой,</w:t>
        <w:br/>
        <w:t>Специалиста-эксперта отдела обжалования государственных закупок</w:t>
        <w:br/>
        <w:t>Е.С. Переверзевой,</w:t>
        <w:br/>
        <w:t>рассмотрение жалобы проводилось дистанционно (посредством видео-</w:t>
        <w:br/>
        <w:t>конференц-связи),</w:t>
        <w:br/>
        <w:t>при участии представителей:</w:t>
        <w:br/>
        <w:t>ФГБНУ «РНЦХ им. акад. Б.В. Петровского»: А.А. Григорьевой (по дов. от</w:t>
        <w:br/>
        <w:t>19.01.2026 №01-исх/152),</w:t>
        <w:br/>
        <w:t>ООО «Фирма Ролитекс» : Ю.Н. Кириченко (по дов. от 17.11.2025 №б/н),</w:t>
        <w:br/>
        <w:t>рассмотрев жалобу ООО «Фирма Ролитекс» (далее — Заявитель) на</w:t>
        <w:br/>
        <w:t>действия ФГБНУ «РНЦХ им. акад. Б.В. Петровского» (далее — Заказчик) при</w:t>
        <w:br/>
        <w:t>проведении электронного аукциона на право заключения государственного</w:t>
        <w:br/>
        <w:t>контракта на поставку оборудования для нужд ФГБНУ «РНЦХ им. акад.</w:t>
        <w:br/>
        <w:t>Б.В.Петровского» (Закупка №0373100072126000570) (далее – электронный</w:t>
        <w:br/>
        <w:t>аукцион, аукцион), в соответствии с Федеральным законом от 05.04.2013 №44-</w:t>
        <w:br/>
        <w:t>ФЗ «О контрактной системе в сфере закупок товаров, работ, услуг для</w:t>
        <w:br/>
        <w:t>обеспечения государственных и муниципальных нужд» (далее – Закон о</w:t>
        <w:br/>
        <w:t>контрактной системе),</w:t>
        <w:br/>
        <w:t>2026-18944</w:t>
        <w:br/>
        <w:t>2</w:t>
        <w:br/>
        <w:t>УСТАНОВИЛА:</w:t>
        <w:br/>
        <w:t>В Московское УФАС России поступила жалоба Заявителя на действия</w:t>
        <w:br/>
        <w:t>Заказчика при проведении вышеуказанного аукциона.</w:t>
        <w:br/>
        <w:t>В результате рассмотрения жалобы, рассмотрев представленные</w:t>
        <w:br/>
        <w:t>документы и сведения, запрашиваемые Московским УФАС России , Комиссия</w:t>
        <w:br/>
        <w:t>Управления установила следующее.</w:t>
        <w:br/>
        <w:t>Заявитель обжалует действия Заказчика, выразившиеся в утверждении</w:t>
        <w:br/>
        <w:t>положений извещения в нарушение законодательства о контрактной системе.</w:t>
        <w:br/>
        <w:t>1. На основании п.1 ч.2 ст.42 Закона о контрактной системе извещение об</w:t>
        <w:br/>
        <w:t>осуществлении закупки, если иное не предусмотрено Законом о контрактной системе,</w:t>
        <w:br/>
        <w:t>должно содержать описание объекта закупки в соответствии со ст.33 Закона о</w:t>
        <w:br/>
        <w:t>контрактной системе.</w:t>
        <w:br/>
        <w:t>В соответствии с п.1 ч.1 ст.33 Закона о контрактной системе заказчиком в</w:t>
        <w:br/>
        <w:t>описании объекта закупки указываются функциональные, технические и</w:t>
        <w:br/>
        <w:t>качественные характеристики, эксплуатационные характеристики объекта закупки</w:t>
        <w:br/>
        <w:t>(при необходимости). В описание объекта закупки не должны включаться</w:t>
        <w:br/>
        <w:t>требования или указания в отношении товарных знаков, знаков обслуживания,</w:t>
      </w:r>
    </w:p>
    <w:p>
      <w:r>
        <w:t>фирменных наименований, патентов, полезных моделей, промышленных образцов,</w:t>
        <w:br/>
        <w:t>наименование страны происхождения товара, тре бования к товарам, информации,</w:t>
        <w:br/>
        <w:t>работам, услугам при условии, что такие требования или указания влекут за собой</w:t>
        <w:br/>
        <w:t>ограничение количества участников закупки. Допускается использование в</w:t>
        <w:br/>
        <w:t>описании объекта закупки указания на товарный знак в следующих случаях:</w:t>
        <w:br/>
        <w:t>а) сопровождение такого указания словами «или эквивалент»;</w:t>
        <w:br/>
        <w:t>б) несовместимость товаров, на которых размещаются другие товарные знаки,</w:t>
        <w:br/>
        <w:t>и необходимость обеспечения взаимодействия таких товаров с товарами,</w:t>
        <w:br/>
        <w:t>используемыми заказчиком;</w:t>
        <w:br/>
        <w:t>в) осуществление закупки запасных частей и расходных материалов к</w:t>
        <w:br/>
        <w:t>машинам и оборудованию, используемым заказчиком, в соответствии с технической</w:t>
        <w:br/>
        <w:t>документацией на указанные машины и оборудование;</w:t>
        <w:br/>
        <w:t>г) осуществление закупки медицинских изделий, специализированных</w:t>
        <w:br/>
        <w:t>продуктов лечебного питания, необходимых для назначения пациенту по</w:t>
        <w:br/>
        <w:t>медицинским показаниям (индивидуальная непереносимость, по жизненным</w:t>
        <w:br/>
        <w:t>показаниям) по решению врачебной комиссии, которое фиксируется в</w:t>
        <w:br/>
        <w:t>медицинской документации пациента и журнале врачебной комиссии. Перечень</w:t>
        <w:br/>
        <w:t>указанных медицинских изделий, специализированных продуктов лечебного</w:t>
        <w:br/>
        <w:t>питания и порядок его формирования утверждаются Правительством Российской</w:t>
        <w:br/>
        <w:t>Федерации.</w:t>
        <w:br/>
        <w:t>Ч.2 ст.33 Закона о контрактной системе регламентировано, что описание</w:t>
        <w:br/>
        <w:t>объекта закупки в соответствии с требованиями, указанными в ч.1 ст.33 Закона о</w:t>
        <w:br/>
        <w:t>контрактной системе, должно содержать показатели, позволяющие определить</w:t>
        <w:br/>
        <w:t>соответствие закупаемых товара, работы, услуги установленным заказчиком</w:t>
        <w:br/>
        <w:t>требованиям. При этом указываются максимальные и (или) минимальные</w:t>
        <w:br/>
        <w:t>значения таких показателей и (или) значения показателей, которые не могут</w:t>
        <w:br/>
        <w:t>2026-18944</w:t>
        <w:br/>
        <w:t>3</w:t>
        <w:br/>
        <w:t>изменяться.</w:t>
        <w:br/>
        <w:t>1.Согласно доводам жалобы в нарушение ст.33 Закона о контрактной системе</w:t>
        <w:br/>
        <w:t>совокупности установленных требований к характеристикам описания объекта</w:t>
        <w:br/>
        <w:t>закупки «Промышленная стиральная машина» кода ОКПД2 27.51.13.110</w:t>
        <w:br/>
        <w:t>соответствует изделие единственного производителя стирально-отжимная машина</w:t>
        <w:br/>
        <w:t>«ВЯЗЬМА» ВО-50 производства АО «Вяземский машиностроительный завод».</w:t>
        <w:br/>
        <w:t>В силу ч.1 ст.106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На заседании Комиссии Управления представитель Заказчика пояснил, что</w:t>
      </w:r>
    </w:p>
    <w:p>
      <w:r>
        <w:t>Заказчиком при выборе закупаемой стиральной машины был проведен анализ</w:t>
        <w:br/>
        <w:t>рынка, в ходе которого было выявлено, что представлена всего одна стиральная</w:t>
        <w:br/>
        <w:t>машина российского производства, имеющая номинальную загрузочную массу</w:t>
        <w:br/>
        <w:t>барабана 50 кг. Кроме того, при выборе стиральной машины Заказчик учитывал</w:t>
        <w:br/>
        <w:t>такие технические характеристики, как напряжение электросети, управление, тип</w:t>
        <w:br/>
        <w:t>нагрева, мощность, номинальная загрузочная масса, геометрический объем</w:t>
        <w:br/>
        <w:t>барабана и габаритами, имеющегося у Заказчика помещения для установки</w:t>
        <w:br/>
        <w:t>стиральной машины и подведенными коммуникациями.</w:t>
        <w:br/>
        <w:t>В действительности, под совокупность всех необходимых параметров</w:t>
        <w:br/>
        <w:t>попадает только одна стиральная машина, которая не имеет аналогов на российском</w:t>
        <w:br/>
        <w:t>рынке, в связи с чем представитель Заказчика презюмировал, что Заказчиком</w:t>
        <w:br/>
        <w:t>правомерно принято решение о формировании монолота в рамках аукциона.</w:t>
        <w:br/>
        <w:t>Комиссия Управления акцентирует внимание сторон, что ст.33 Закона о</w:t>
        <w:br/>
        <w:t>контрактной систем содержит в себе закрытый перечень случаев, когда Заказчик</w:t>
        <w:br/>
        <w:t>вправе закупать товары конкретного производителя (пп. «б» - «г» п.1 ч.1 ст.33</w:t>
        <w:br/>
        <w:t>Закона о контрактной системе), во всех остальных случаях, совокупности всех</w:t>
        <w:br/>
        <w:t>требований извещения, в том числе и всем требованиям описания объекта закупки,</w:t>
        <w:br/>
        <w:t>должны соответствовать товары как минимум двух различных производителей.</w:t>
        <w:br/>
        <w:t>Вместе с тем обязанность по формированию описания объекта закупки в</w:t>
        <w:br/>
        <w:t>соответствии с положениями ст.33 Закона о контрактной системе возложена на</w:t>
        <w:br/>
        <w:t>Заказчика, следовательно, именно Заказчик при формировании извещения об</w:t>
        <w:br/>
        <w:t>осуществлении закупочной процедуры должен обладать документальным</w:t>
        <w:br/>
        <w:t>подтверждением соответствия описания объекта закупки требованиям действующего</w:t>
        <w:br/>
        <w:t>законодательства.</w:t>
        <w:br/>
        <w:t>При таких обстоятельства х Комиссия Управления не может согласиться с</w:t>
        <w:br/>
        <w:t>позицией представителя Заказчика, поскольку, и сходя из правовой сути п.1 ч.1 ст.33</w:t>
        <w:br/>
        <w:t>Закона о контрактной системе, в описании объекта закупки не должны включаться</w:t>
        <w:br/>
        <w:t>сведения о товарном знаке, что предполагает предоставление возможности</w:t>
        <w:br/>
        <w:t>участникам предложить товар любого производителя.</w:t>
        <w:br/>
        <w:t>Согласно описанию объекта закупки Заказчик закупает устройство</w:t>
        <w:br/>
        <w:t>«Промышленная стиральная машина» , которое предполагает возможность</w:t>
        <w:br/>
        <w:t>использования такого товара практически любого производителя.</w:t>
        <w:br/>
        <w:t>Вместе с тем включение в извещения требования к товару, которое</w:t>
      </w:r>
    </w:p>
    <w:p>
      <w:r>
        <w:t>свидетельствует о его конкретном производителе, в отсутствие специфики его</w:t>
        <w:br/>
        <w:t>2026-18944</w:t>
        <w:br/>
        <w:t>4</w:t>
        <w:br/>
        <w:t>использования, является нарушением положений ст.33 Закона о контрактной</w:t>
        <w:br/>
        <w:t>системе.</w:t>
        <w:br/>
        <w:t>Схожая позиция определена в п.2 «Обзора судебной практики применения</w:t>
        <w:br/>
        <w:t>законодательства Российской Федерации о контрактной системе в сфере закупок</w:t>
        <w:br/>
        <w:t>товаров, работ, услуг для обеспечения государственных и муниципальных нужд»,</w:t>
        <w:br/>
        <w:t>утвержденного Президиумом Верховного Суда Российской Федерации 28.06.2017.</w:t>
        <w:br/>
        <w:t>Комиссия Управления также отмечает, что в ходе рассмотрения жалобы по</w:t>
        <w:br/>
        <w:t>существу представителем Заказчика не доказано обстоятельств, свидетельствующих</w:t>
        <w:br/>
        <w:t>об описания объекта закупки по о дному из случаев, предусмотренных пп. «б» - «г»</w:t>
        <w:br/>
        <w:t>п.1 ч.1 ст.33 Закона о контрактной системе.</w:t>
        <w:br/>
        <w:t>Вследствие чего, в отсутствие доказательств обратного, Комиссия Управления</w:t>
        <w:br/>
        <w:t>приходит выводу о нарушении Заказчиком положений п.1 ч.1 ст.33 Закона о</w:t>
        <w:br/>
        <w:t>контрактной системе при формировании описания объекта закупки, что также</w:t>
        <w:br/>
        <w:t>свидетельствует о наличии в действиях Заказчика признаков состава</w:t>
        <w:br/>
        <w:t>административного правонарушения, ответственность за которое предусмотрена</w:t>
        <w:br/>
        <w:t>ч.6 ст.7.30.1 Кодекса Российской Федерации об административных</w:t>
        <w:br/>
        <w:t>правонарушениях.</w:t>
        <w:br/>
        <w:t>2. Одновременно с этим в составе жалобы Заявитель указывает на то, что в</w:t>
        <w:br/>
        <w:t>описание объекта закупки не использована позиция каталога товаров, работ, услуг</w:t>
        <w:br/>
        <w:t>для обеспечения государственных и муниципальных нужд (далее — КТРУ)</w:t>
        <w:br/>
        <w:t>28.94.22.110-00000006 «Стиральная машина профессиональная», что повлияло на</w:t>
        <w:br/>
        <w:t>описание объекта закупки в соответствии со ст.33 Закона о контрактной системе</w:t>
        <w:br/>
        <w:t>без использования предусмотренных позицией характеристик.</w:t>
        <w:br/>
        <w:t>В силу п.5 ч.1 ст.42 Закона о контрактной системе извещение об</w:t>
        <w:br/>
        <w:t>осуществлении закупки должно содержать наименование объекта закупки,</w:t>
        <w:br/>
        <w:t>информация (при наличии), предусмотренная правилами использования каталога</w:t>
        <w:br/>
        <w:t>товаров, работ, услуг для обеспечения государственных и муниципальных нужд,</w:t>
        <w:br/>
        <w:t>установленными в соответствии с ч.6 ст.23 Закона о контрактной системе, указание</w:t>
        <w:br/>
        <w:t>(в случае осуществления закупки лекарственных средств) на международные</w:t>
        <w:br/>
        <w:t>непатентованные наименования лекарственных средств или при отсутствии таких</w:t>
        <w:br/>
        <w:t>наименований химические, группировочные наименования.</w:t>
        <w:br/>
        <w:t>Постановлением Правительства Российской Федерации от 08.02.2017 №145</w:t>
        <w:br/>
        <w:t>утверждены Правила формирования и ведения в единой информационной системе в</w:t>
      </w:r>
    </w:p>
    <w:p>
      <w:r>
        <w:t>сфере закупок каталога товаров, работ, услуг для обеспечения государственных и</w:t>
        <w:br/>
        <w:t>муниципальных нужд (далее — правила формирования КТРУ) и Правила</w:t>
        <w:br/>
        <w:t>использования каталога товаров, работ, услуг для обеспечения государственных и</w:t>
        <w:br/>
        <w:t>муниципальных нужд (далее — Правила использования КТРУ).</w:t>
        <w:br/>
        <w:t>На основании п.14 ч.3 ст.4 Закона о контрактной системе единая</w:t>
        <w:br/>
        <w:t>информационная система содержит каталог товаров, работ, услуг для обеспечения</w:t>
        <w:br/>
        <w:t>государственных и муниципальных нужд.</w:t>
        <w:br/>
        <w:t>Согласно ч.6 ст.23 Закона о контрактной системе порядок формирования и</w:t>
        <w:br/>
        <w:t>ведения в единой информационной системе каталога товаров, работ, услуг для</w:t>
        <w:br/>
        <w:t>обеспечения государственных и муниципальных нужд, а также правила</w:t>
        <w:br/>
        <w:t>использования указанного каталога устанавливаются Правительством Российской</w:t>
        <w:br/>
        <w:t>Федерации.</w:t>
        <w:br/>
        <w:t>2026-18944</w:t>
        <w:br/>
        <w:t>5</w:t>
        <w:br/>
        <w:t>Согласно пп.«а» п.2 Правила использования КТРУ каталог используется</w:t>
        <w:br/>
        <w:t>заказчиками в целях обеспечения применения информации о товарах, работах,</w:t>
        <w:br/>
        <w:t>услугах, в том числе в:</w:t>
        <w:br/>
        <w:t>-извещении об осуществлении закупки;</w:t>
        <w:br/>
        <w:t>-приглашении принять участие в определении поставщика (подрядчика,</w:t>
        <w:br/>
        <w:t>исполнителя) (далее — приглашение);</w:t>
        <w:br/>
        <w:t>-документации о закупке (в случае если Федеральным законом</w:t>
        <w:br/>
        <w:t>предусмотрена документация о закупке);</w:t>
        <w:br/>
        <w:t>-контракте;</w:t>
        <w:br/>
        <w:t>-реестре контрактов, заключенных заказчиками.</w:t>
        <w:br/>
        <w:t>На основании п.4 Правил использования КТРУ Заказчики обязаны применять</w:t>
        <w:br/>
        <w:t>информацию, включенную в позицию каталога в соответствии с пп.«а» - «г» и «е» -</w:t>
        <w:br/>
        <w:t>«з» п.10 Правил формирования КТРУ . При этом заказчик обязан при осуществлении</w:t>
        <w:br/>
        <w:t>закупки использовать информацию, включенную в соответствующую позицию, в</w:t>
        <w:br/>
        <w:t>том числе указывать согласно такой позиции следующую информацию:</w:t>
        <w:br/>
        <w:t>а) наименование товара, работы, услуги;</w:t>
        <w:br/>
        <w:t>б) единицы измерения количества товара, объема выполняемой работы,</w:t>
        <w:br/>
        <w:t>оказываемой услуги (при наличии);</w:t>
        <w:br/>
        <w:t>в) описание товара, работы, услуги (при наличии такого описания в позиции).</w:t>
        <w:br/>
        <w:t>В силу п.5 Правил использования КТРУ Заказчик вправе указать в извещении</w:t>
        <w:br/>
        <w:t>об осуществлении закупки, приглашении и документации о закупке (в случае если</w:t>
        <w:br/>
        <w:t>Законом о контрактной системе предусмотрена документация о закупке)</w:t>
        <w:br/>
        <w:t>дополнительную информацию, а также дополнительные потребительские свойства,</w:t>
        <w:br/>
        <w:t>в том числе функциональные, технические, качественные, эксплуатационные</w:t>
        <w:br/>
        <w:t>характеристики товара, работы, услуги в соответствии с положениями с.33 Закона о</w:t>
      </w:r>
    </w:p>
    <w:p>
      <w:r>
        <w:t>контрактной системе, которые не предусмотрены в позиции каталога.</w:t>
        <w:br/>
        <w:t>Вместе с тем в силу п. 6 Правил использования КТРУ в случае</w:t>
        <w:br/>
        <w:t>предоставления дополнительной информации, предусмотренной п. 5 Правил,</w:t>
        <w:br/>
        <w:t>заказчик обязан включить в описание товара, работы, услуги обоснование</w:t>
        <w:br/>
        <w:t>необходимости использования такой информации (при наличии описания товара,</w:t>
        <w:br/>
        <w:t>работы, услуги в позиции каталога).</w:t>
        <w:br/>
        <w:t>При этом п.7 Правил использования КТРУ регламентировано, что в случае</w:t>
        <w:br/>
        <w:t>осуществления закупки товара, работы, услуги, в отношении которых в каталоге</w:t>
        <w:br/>
        <w:t>отсутствуют соответствующие позиции, заказчик осуществляет описание товара,</w:t>
        <w:br/>
        <w:t>работы, услуги в соответствии с требованиями ст.33 Закона о контрактной системе.</w:t>
        <w:br/>
        <w:t>При проведении предусмотренных Законом о контрактной системе электронных</w:t>
        <w:br/>
        <w:t>процедур, закрытых электронных процедур характеристики объекта закупки,</w:t>
        <w:br/>
        <w:t>предусмотренные п.1 ч.1 ст.33 Закона о контрактной системе, указываются с</w:t>
        <w:br/>
        <w:t>использованием единой информационной системы при формировании извещения</w:t>
        <w:br/>
        <w:t>об осуществлении закупки, приглашения принять участие в определении</w:t>
        <w:br/>
        <w:t>поставщика (подрядчика, исполнителя) в соответствии с ч.1 ст.42, п.1 ч.1 ст.75</w:t>
        <w:br/>
        <w:t>Закона о контрактной системе соответственно.</w:t>
        <w:br/>
        <w:t>В качестве кода каталога товара, работы, услуги, на которые в каталоге</w:t>
        <w:br/>
        <w:t>отсутствует соответствующая позиция, указывается код такого товара, работы,</w:t>
        <w:br/>
        <w:t>услуги согласно Общероссийскому классификатору продукции по видам</w:t>
        <w:br/>
        <w:t>2026-18944</w:t>
        <w:br/>
        <w:t>6</w:t>
        <w:br/>
        <w:t>экономической деятельности (ОКПД2) ОК 034-2014.</w:t>
        <w:br/>
        <w:t>Комиссией Управления установлено, что в соответствии с описанием объекта</w:t>
        <w:br/>
        <w:t>закупки Заказчиком осуществлено самостоятельное описание объекта закупки</w:t>
        <w:br/>
        <w:t>«Промышленная стиральная машина» и выбран код ОКПД2 27.51.13.110.</w:t>
        <w:br/>
        <w:t>На заседании Комиссии Управления представитель Заказчика пояснил, что в</w:t>
        <w:br/>
        <w:t>соответствии с законодательством в сфере закупок, все процедуры проводятся</w:t>
        <w:br/>
        <w:t>Заказчиком в соответствии с утвержденным планом-графиком закупок, в котором</w:t>
        <w:br/>
        <w:t>содержатся коды закупаемых товаров. Внести изменения и/или добавить новый код</w:t>
        <w:br/>
        <w:t>в утвержденный план-график без нарушения действующего законодательства</w:t>
        <w:br/>
        <w:t>возможно только раз в квартал, либо при поступлении новых финансовых средств</w:t>
        <w:br/>
        <w:t>в бюджет учреждения.</w:t>
        <w:br/>
        <w:t>В связи с тем, что у Заказчика отсутствовала законная возможность внести</w:t>
        <w:br/>
        <w:t>изменения в утвержденный план-график, а именно, внести необходимый</w:t>
        <w:br/>
        <w:t>(отсутствующий) код, при этом ввиду срочной необходимости стиральная машина</w:t>
      </w:r>
    </w:p>
    <w:p>
      <w:r>
        <w:t>описана по коду ОКПД2, который содержался в плане на момент публикации</w:t>
        <w:br/>
        <w:t>извещения о проведении аукциона.</w:t>
        <w:br/>
        <w:t>Вместе с тем, Комиссия Управления обращает внимание, согласно</w:t>
        <w:br/>
        <w:t>п.4 Правил использования КТРУ , Заказчики обязаны использовать сведения</w:t>
        <w:br/>
        <w:t>указанные в позиции КТРУ при формировании описания объекта закупки, при</w:t>
        <w:br/>
        <w:t>условии, что в КТРУ имеется позиция, соответствующая закупаемому изделию.</w:t>
        <w:br/>
        <w:t>Аналогичная правовая позиция изложена в постановлении Девятого</w:t>
        <w:br/>
        <w:t>арбитражного апелляционного суда по делу № А40-230806/23 от 29.02.2024.</w:t>
        <w:br/>
        <w:t>На основании вышеизложенного Комиссией Управления приходит к выводу,</w:t>
        <w:br/>
        <w:t>что Заказчику следовало установить и использовать позицию КТРУ 28.94.22.110-</w:t>
        <w:br/>
        <w:t>00000006, а также о нарушении Заказчиком ч.6 ст.23, п.5 ч.1 ст.42 Закона о</w:t>
        <w:br/>
        <w:t>контрактной системе, что содержит признаки состава административного</w:t>
        <w:br/>
        <w:t>правонарушения, ответственность за которое предусмотрена ч.5 ст.7.30.1 Кодекса</w:t>
        <w:br/>
        <w:t>административных правонарушений.</w:t>
        <w:br/>
        <w:t>Исследовав представленные материалы, руководствуясь Законом</w:t>
        <w:br/>
        <w:t>о контрактной системе, Комиссия Управления</w:t>
        <w:br/>
        <w:t>2026-18944</w:t>
        <w:br/>
        <w:t>7</w:t>
        <w:br/>
        <w:t>РЕШИЛА:</w:t>
        <w:br/>
        <w:t>1.Признать жалобу ООО «Фирма Ролитекс»» на действия ФГБНУ «РНЦХ им.</w:t>
        <w:br/>
        <w:t>акад. Б.В. Петровского» обоснованной .</w:t>
        <w:br/>
        <w:t>2.Признать в действиях Заказчика нарушение ч.6 ст.23, п.1 ч.1 ст.33, п.5 ч.1</w:t>
        <w:br/>
        <w:t>ст.42 Закона о контрактной системе.</w:t>
        <w:br/>
        <w:t>3.Выдать Заказчику обязательное для исполнения предписание об устранении</w:t>
        <w:br/>
        <w:t>нарушений законодательства о контрактной системе.</w:t>
        <w:br/>
        <w:t>4.Передать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правонарушении.</w:t>
        <w:br/>
        <w:t>Решение может быть обжаловано в судебном порядке в Арбитражном суде</w:t>
        <w:br/>
        <w:t>г. Москвы в течение 3 (трех) месяцев с даты его принятия в порядке,</w:t>
        <w:br/>
        <w:t>установленном гл. 24 АПК РФ.</w:t>
        <w:br/>
        <w:t>Председательствующий Е.А. Миронова</w:t>
        <w:br/>
        <w:t>Члены Комиссии:</w:t>
        <w:br/>
        <w:t>М.В. Сорбучева</w:t>
        <w:br/>
        <w:t>Е.С. Переверзева</w:t>
        <w:br/>
        <w:t>Исп.Сорбучева М.В.</w:t>
        <w:br/>
        <w:t>тел.8(495)784-75-05</w:t>
        <w:br/>
        <w:t>2026-18944</w:t>
      </w:r>
    </w:p>
    <w:p>
      <w:pPr>
        <w:pStyle w:val="Heading1"/>
      </w:pPr>
      <w:r>
        <w:t>Предписание</w:t>
      </w:r>
    </w:p>
    <w:p>
      <w:r>
        <w:t>ФГБНУ «РНЦХ им. акад. Б.В.</w:t>
        <w:br/>
        <w:t>Петровского»</w:t>
        <w:br/>
        <w:t>korovina.ey@med.ru</w:t>
        <w:br/>
        <w:t>ООО «Фирма Ролитекс»</w:t>
        <w:br/>
        <w:t>3746802@mail.ru</w:t>
        <w:br/>
        <w:t>АО«ЕЭТП»</w:t>
        <w:br/>
        <w:t>ko@roseltorg.ru</w:t>
        <w:br/>
        <w:t>ПРЕДПИСАНИЕ</w:t>
        <w:br/>
        <w:t>по делу № 077/06/105-4593/2026 об устранении нарушений</w:t>
        <w:br/>
        <w:t>законодательства о контрактной системе</w:t>
        <w:br/>
        <w:t>15.04.2026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</w:t>
        <w:br/>
        <w:t>Управления) в составе:</w:t>
        <w:br/>
        <w:t>Председательствующего – и.о. начальника отдела обжалования</w:t>
        <w:br/>
        <w:t>государственных закупок Е.А. Мироновой,</w:t>
        <w:br/>
        <w:t>Члены Комиссии:</w:t>
        <w:br/>
        <w:t>Ведущего специалиста-эксперта отдела обжалования государственных закупок</w:t>
        <w:br/>
        <w:t>М.В. Сорбучевой,</w:t>
        <w:br/>
        <w:t>Специалиста-эксперта отдела обжалования государственных закупок</w:t>
        <w:br/>
        <w:t>Е.С. Переверзевой,</w:t>
        <w:br/>
        <w:t>на основании решения Комиссии от 15.04.2026 по делу № 077/06/105-</w:t>
        <w:br/>
        <w:t>4593/2026, по итогам рассмотрения жалобы ООО «Фирма Ролитекс» (далее —</w:t>
        <w:br/>
        <w:t>Заявитель) на действия ФГБНУ «РНЦХ им. акад. Б.В. Петровского» (далее —</w:t>
        <w:br/>
        <w:t>Заказчик) при проведении электронного аукциона на право заключения</w:t>
        <w:br/>
        <w:t>государственного контракта на поставку оборудования для нужд ФГБНУ «РНЦХ им.</w:t>
        <w:br/>
        <w:t>акад. Б.В.Петровского» (Закупка №0373100072126000570) (далее – аукцион) в</w:t>
        <w:br/>
        <w:t>соответствии с Федеральным законом от 05.04.2013 №44-ФЗ «О контрактной</w:t>
        <w:br/>
        <w:t>системе в сфере закупок товаров, работ, услуг для обеспечения государственных и</w:t>
        <w:br/>
        <w:t>муниципальных нужд» (далее – Закон о контрактной системе),</w:t>
        <w:br/>
        <w:t>ПРЕДПИСЫВАЕТ:</w:t>
        <w:br/>
        <w:t>1. Заказчику, комиссии по осуществлению закупок отменить протокол</w:t>
        <w:br/>
        <w:t>подведения итогов определения поставщика (подрядчика, исполнителя) по закупке.</w:t>
        <w:br/>
        <w:t>2. Оператору электронной площадки не позднее 1 рабочего дня со дня</w:t>
        <w:br/>
        <w:t>2026-18940</w:t>
        <w:br/>
        <w:t>2</w:t>
        <w:br/>
        <w:t>исполнения пункта 1 настоящего предписания по закупке:</w:t>
        <w:br/>
        <w:t>- отменить протокол подачи ценовых предложений ;</w:t>
        <w:br/>
        <w:t>- вернуть участникам закупки ранее поданные заявки на участие в Аукционе;</w:t>
        <w:br/>
        <w:t>- уведомить участников закупки, подавших заявки на участие в Аукционе, в</w:t>
        <w:br/>
        <w:t>том числе Заявителя, об отмене протокола подведения итогов определения</w:t>
        <w:br/>
        <w:t>поставщика (подрядчика, исполнителя), протокола подачи ценовых предложений, о</w:t>
        <w:br/>
        <w:t>прекращении действия заявок, поданных на участие в Аукционе, и о возможности</w:t>
        <w:br/>
        <w:t>подать новые заявки на участие в Аукционе;</w:t>
        <w:br/>
        <w:t>- прекратить блокирование операций по счетам для проведения операций по</w:t>
        <w:br/>
        <w:t>обеспечению участия в электронных аукционах, открытых участникам закупки,</w:t>
        <w:br/>
        <w:t>подавшим заявки на участие в Аукционе, в отношении денежных средств в размере</w:t>
        <w:br/>
        <w:t>обеспечения заявки на участие в Аукционе.</w:t>
        <w:br/>
        <w:t>3. Заказчику:</w:t>
        <w:br/>
        <w:t>- привести извещение о проведении электронного аукциона в соответствие с</w:t>
      </w:r>
    </w:p>
    <w:p>
      <w:r>
        <w:t>требованиями Закона о контрактной системе и с учетом решения от 15.04.2026 по</w:t>
        <w:br/>
        <w:t>делу № 077/06/105-4593/2026 и разместить соответствующее извещение в единой</w:t>
        <w:br/>
        <w:t>информационной системе ;</w:t>
        <w:br/>
        <w:t>- назначить новую дату окончания срока подачи заявок на участие в Аукционе,</w:t>
        <w:br/>
        <w:t>дату подачи ценовых предложений, дату подведения итогов определения поставщика</w:t>
        <w:br/>
        <w:t>(подрядчика, исполнителя), а также разместить указанные сведения в единой</w:t>
        <w:br/>
        <w:t>информационной системе в сфере закупок. При этом дата окончания срока подачи</w:t>
        <w:br/>
        <w:t>заявок на участие в Аукционе должна быть назначена в соответствии с ч.4 ст.42</w:t>
        <w:br/>
        <w:t>Закона о контрактной системе.</w:t>
        <w:br/>
        <w:t>4. Оператору электронной площадки не позднее 1 рабочего дня со дня</w:t>
        <w:br/>
        <w:t>исполнения пункта 3 настоящего предписания:</w:t>
        <w:br/>
        <w:t>- назначить время подачи ценовых предложений и разместить на электронной</w:t>
        <w:br/>
        <w:t>площадке информацию о времени подачи ценовых предложений;</w:t>
        <w:br/>
        <w:t>- уведомить участников закупки, подавших заявки на участие в Аукционе, в</w:t>
        <w:br/>
        <w:t>том числе Заявителя, о новой дате окончания срока подачи заявок на участие в</w:t>
        <w:br/>
        <w:t>Аукционе, дате подачи ценовых предложений, дате подведения итогов определения</w:t>
        <w:br/>
        <w:t>поставщика (подрядчика, исполнителя), а также о возможности подать новые заявки</w:t>
        <w:br/>
        <w:t>на участие в Аукционе.</w:t>
        <w:br/>
        <w:t>5. Заказчику, комиссии по осуществлению закупок, Оператору электронной</w:t>
        <w:br/>
        <w:t>площадки осуществить дальнейшее проведение процедуры закупки в соответствии с</w:t>
        <w:br/>
        <w:t>требованиями законодательства Российской Федерации о контрактной системе и с</w:t>
        <w:br/>
        <w:t>учетом решения от 15.04.2026 по делу № 077/06/105-4593/2026.</w:t>
        <w:br/>
        <w:t>6. Заказчику, комиссии по осуществлению закупок в срок до 15.05.2026</w:t>
        <w:br/>
        <w:t>представить в Московское УФАС России подтверждение исполнения настоящего</w:t>
        <w:br/>
        <w:t>предписания в письменном виде или по факсимильной связи (8(495) 607-42-92) или</w:t>
        <w:br/>
        <w:t>электронной почте по адре су: to77@fas.gov.ru.</w:t>
        <w:br/>
        <w:t>Невыполнение должностным лицом заказчика, должностным лицом</w:t>
        <w:br/>
        <w:t>уполномоченного органа, должностным лицом уполномоченного учреждения,</w:t>
        <w:br/>
        <w:t>членом комиссии по осуществлению закупок, оператором электронной площадки,</w:t>
        <w:br/>
        <w:t>специализированной организацией в установленный срок законного предписания,</w:t>
        <w:br/>
        <w:t>требования органа, уполномоченного на осуществление контроля в сфере закупок,</w:t>
        <w:br/>
        <w:t>2026-18940</w:t>
        <w:br/>
        <w:t>3</w:t>
        <w:br/>
        <w:t>за исключением органа, указанного в ч. 7.1 ст. 19.5 Кодекса Российской Федерации</w:t>
        <w:br/>
        <w:t>об административных правонарушениях влечет наложение административного</w:t>
      </w:r>
    </w:p>
    <w:p>
      <w:r>
        <w:t>штрафа на должностных лиц в размере пятидесяти тысяч рублей; на юридических</w:t>
        <w:br/>
        <w:t>лиц - пятисот тысяч рублей в соответствии с ч.7 ст.19.5 Кодекса Российской</w:t>
        <w:br/>
        <w:t>Федерации об административных правонарушениях.</w:t>
        <w:br/>
        <w:t>Настоящее предписание от 15.04.2026 по делу № 077/06/105-4593/2026 может</w:t>
        <w:br/>
        <w:t>быть обжаловано в судебном порядке в Арбитражном суде г. Москвы в течение 3</w:t>
        <w:br/>
        <w:t>(трех) месяцев с даты его принятия в порядке, установленным главой 24</w:t>
        <w:br/>
        <w:t>Арбитражного процессуального кодекса Российской Федерации.</w:t>
        <w:br/>
        <w:t>Председательствующий Е.А. Миронова</w:t>
        <w:br/>
        <w:t>Члены Комиссии:</w:t>
        <w:br/>
        <w:t>М.В. Сорбучева</w:t>
        <w:br/>
        <w:t>Е.С. Переверзева</w:t>
        <w:br/>
        <w:t>Исп.Сорбучева М.В.</w:t>
        <w:br/>
        <w:t>тел.8(495)784-75-05</w:t>
        <w:br/>
        <w:t>2026-18940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