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202600132489007359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29.04.2026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0373100072126000679</w:t>
      </w:r>
    </w:p>
    <w:p>
      <w:r>
        <w:rPr>
          <w:b/>
        </w:rPr>
        <w:t xml:space="preserve">Заказчик: </w:t>
      </w:r>
      <w:r>
        <w:t>Федеральное государственное бюджетное научное учреждение «Российский научный центр хирургии имени Академика Б.В. Петровского»</w:t>
      </w:r>
    </w:p>
    <w:p>
      <w:r>
        <w:rPr>
          <w:b/>
        </w:rPr>
        <w:t xml:space="preserve">Заявитель: </w:t>
      </w:r>
      <w:r>
        <w:t>ООО «Уральская медицинская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https://zakupki.gov.ru/epz/complaint/card/complaint-information.html?complaintNumber=202600132489007359</w:t>
      </w:r>
    </w:p>
    <w:p/>
    <w:p>
      <w:pPr>
        <w:pStyle w:val="Heading1"/>
      </w:pPr>
      <w:r>
        <w:t>Решение</w:t>
      </w:r>
    </w:p>
    <w:p>
      <w:r>
        <w:t>ФГБНУ «РНЦХ им. акад. Б.В.</w:t>
        <w:br/>
        <w:t>Петровского»</w:t>
        <w:br/>
        <w:t>lyapin.aa@med.ru</w:t>
        <w:br/>
        <w:t>ООО «УМК»</w:t>
        <w:br/>
        <w:t>ymkayral@list.ru</w:t>
        <w:br/>
        <w:t>АО«ЕЭТП»</w:t>
        <w:br/>
        <w:t>ko@roseltorg.ru</w:t>
        <w:br/>
        <w:t>РЕШЕНИЕ</w:t>
        <w:br/>
        <w:t>по делу № 077/06/105-5371/2026 о нарушении</w:t>
        <w:br/>
        <w:t>законодательства о контрактной системе</w:t>
        <w:br/>
        <w:t>29.04.2026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Члены Комиссии:</w:t>
        <w:br/>
        <w:t>Ведущего специалиста-эксперта отдела обжалования государственных закупок</w:t>
        <w:br/>
        <w:t>М.В. Сорбучевой,</w:t>
        <w:br/>
        <w:t>Специалиста-эксперта отдела обжалования государственных закупок</w:t>
        <w:br/>
        <w:t>А.С. Гелмутдиновой,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представителя ФГБНУ «РНЦХ им. акад. Б.В. Петровского»:</w:t>
        <w:br/>
        <w:t>С.А. Ливак (по дов. от 29.04.2026 №б/н),</w:t>
        <w:br/>
        <w:t>в отсутствие представителей ООО «УМК», о времени и порядке заседания</w:t>
        <w:br/>
        <w:t>Комиссии Управления уведомленных надлежащим образом посредством размещения</w:t>
        <w:br/>
        <w:t>сведений в Единой информационной системе (далее — ЕИС),</w:t>
        <w:br/>
        <w:t>рассмотрев жалобу ООО «УМК» (далее — Заявитель) на действия</w:t>
        <w:br/>
        <w:t>ФГБНУ «РНЦХ им. акад. Б.В. Петровского»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медицинских расходных материалов для нужд ФГБНУ «РНЦХ им. акад.</w:t>
        <w:br/>
        <w:t>Б.В. Петровского» (Закупка №0373100072126000679) (далее – электронный</w:t>
        <w:br/>
        <w:t>аукцион, аукцион), в соответствии с Федеральным законом от 05.04.2013 №44-</w:t>
        <w:br/>
        <w:t>ФЗ «О контрактной системе в сфере закупок товаров, работ, услуг для</w:t>
        <w:br/>
        <w:t>обеспечения государственных и муниципальных нужд» (далее – Закон о</w:t>
        <w:br/>
        <w:t>контрактной системе),</w:t>
        <w:br/>
        <w:t>2026-22064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В результате рассмотрения жалобы, рассмотрев представленные</w:t>
        <w:br/>
        <w:t>документы и сведения, запрашиваемые Московским УФАС России , Комиссия</w:t>
        <w:br/>
        <w:t>Управления установила следующее.</w:t>
        <w:br/>
        <w:t>Заявитель обжалует действия Заказчика, выразившиеся в утверждении</w:t>
        <w:br/>
        <w:t>положений извещения в нарушение законодательства о контрактной системе.</w:t>
        <w:br/>
        <w:t>1. В составе жалобы Заявитель указывает, что все позиции, кроме позиций 4,</w:t>
        <w:br/>
        <w:t>7, 8, 23, 24 описания объекта закупки, содержат требования к антибактериальной</w:t>
        <w:br/>
        <w:t>активности, в отношении которых при описании товаров Заказчиком выбрана</w:t>
        <w:br/>
        <w:t>позиция каталога товаров, работ, услуг для обеспечения государственных и</w:t>
        <w:br/>
        <w:t>муниципальных нужд (далее — КТРУ) 21.20.24.120-00000007 «Нить хирургическая</w:t>
        <w:br/>
        <w:t>из полиглекапрона» при наиболее соответствующей позиции КТРУ 21.20.24.120-</w:t>
        <w:br/>
        <w:t>00000010 «Нить хирургическая из полиглекапрона, антибактериальная».</w:t>
      </w:r>
    </w:p>
    <w:p>
      <w:r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 системе,</w:t>
        <w:br/>
        <w:t>должно содержать описание объекта закупки в соответствии со ст.33 Закона о</w:t>
        <w:br/>
        <w:t>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</w:t>
        <w:br/>
        <w:t>Ч.2 ст.33 Закона о контрактной системе регламентировано, что описание</w:t>
        <w:br/>
        <w:t>объекта закупки в соответствии с требованиями, указанными в ч.1 ст.33 Закона о</w:t>
        <w:br/>
        <w:t>контрактной системе, должно содержать показатели, позволяющие определить</w:t>
        <w:br/>
        <w:t>соответствие закупаемых товара, работы, услуги установленным заказчиком</w:t>
        <w:br/>
        <w:t>требованиям. При этом указываются максимальные и (или) минимальные</w:t>
        <w:br/>
        <w:t>значения таких показателей и (или) значения показателей, которые не могут</w:t>
        <w:br/>
        <w:t>изменяться.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2026-22064</w:t>
        <w:br/>
        <w:t>3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</w:r>
    </w:p>
    <w:p>
      <w:r>
        <w:t>использования указанного каталога устанавливаются Правительством Российской</w:t>
        <w:br/>
        <w:t>Федерации.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с.33 Закона о</w:t>
        <w:br/>
        <w:t>контрактной системе, которые не предусмотрены в позиции каталога.</w:t>
        <w:br/>
        <w:t>Вместе с тем в силу п. 6 Правил использования КТРУ в случае</w:t>
        <w:br/>
        <w:t>предоставления дополнительной информации, предусмотренной п. 5 Правил,</w:t>
        <w:br/>
        <w:t>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При этом п.7 Правил использования КТРУ регламентировано, что в случае</w:t>
        <w:br/>
        <w:t>осуществления закупки товара, работы, услуги, в отношении которых в каталоге</w:t>
        <w:br/>
        <w:t>отсутствуют соответствующие позиции, заказчик осуществляет описание товара,</w:t>
        <w:br/>
        <w:t>работы, услуги в соответствии с требованиями ст.33 Закона о контрактной системе.</w:t>
      </w:r>
    </w:p>
    <w:p>
      <w:r>
        <w:t>При проведении предусмотренных Законом о контрактной системе электронных</w:t>
        <w:br/>
        <w:t>2026-22064</w:t>
        <w:br/>
        <w:t>4</w:t>
        <w:br/>
        <w:t>процедур, закрытых электронных процедур характеристики объекта закупки,</w:t>
        <w:br/>
        <w:t>предусмотренные п.1 ч.1 ст.33 Закона о контрактной системе, указываются с</w:t>
        <w:br/>
        <w:t>использованием единой информационной системы при формировании извещения</w:t>
        <w:br/>
        <w:t>об осуществлении закупки, приглашения принять участие в определении</w:t>
        <w:br/>
        <w:t>поставщика (подрядчика, исполнителя) в соответствии с ч.1 ст.42, п.1 ч.1 ст.75</w:t>
        <w:br/>
        <w:t>Закона о контрактной системе соответственно.</w:t>
        <w:br/>
        <w:t>В качестве кода каталога товара, работы, услуги, на которые в каталоге</w:t>
        <w:br/>
        <w:t>отсутствует соответствующая позиция, указывается код такого товара, работы,</w:t>
        <w:br/>
        <w:t>услуги согласно Общероссийскому классификатору продукции по видам</w:t>
        <w:br/>
        <w:t>экономической деятельности (ОКПД2) ОК 034-2014.</w:t>
        <w:br/>
        <w:t>Комиссией Управления установлено, что в соответствии с описанием</w:t>
        <w:br/>
        <w:t>объектов закупки Заказчиком установлены следующие требования к</w:t>
        <w:br/>
        <w:t>характеристикам приобретаемых медицинских изделий, например:</w:t>
        <w:br/>
        <w:t>по п.1 «Нить хирургическая из полиглекапрона» позиции КТРУ 21.20.24.120-</w:t>
        <w:br/>
        <w:t>00000007: «Требование к антибактериальной активности: Нить обладает</w:t>
        <w:br/>
        <w:t>антисептическими свойствами для профилактики инфекций области</w:t>
        <w:br/>
        <w:t>хирургического вмешательства в различных тканях организма, включая оболочки</w:t>
        <w:br/>
        <w:t>мозга, что подтверждено исследованиями с наивысшим уровнем достоверности</w:t>
        <w:br/>
        <w:t>доказательств – 1 и наивысшим уровнем убедительности рекомендаций – А.</w:t>
        <w:br/>
        <w:t>Используемый антисептик (триклозан) проявляет клинически доказанную</w:t>
        <w:br/>
        <w:t>антимикробную активность против Staphylococcus aureus, Staphylococcus</w:t>
        <w:br/>
        <w:t>epidermidis, MRSA,MRSE, E.coli, Klebsiella Pneumoniae в период 96 часов после</w:t>
        <w:br/>
        <w:t>имплантации нити, в концентрации, достаточной для подавления роста</w:t>
        <w:br/>
        <w:t>указанных штаммов микроорганизмов. Концентрация триклозана не более 2360</w:t>
        <w:br/>
        <w:t>мкг/м указывается в прилагаемой к шовному материалу инструкции. Действие</w:t>
        <w:br/>
        <w:t>триклозана в зоне подавления роста бактерий S.aureus вокруг нити in-vitro 11</w:t>
        <w:br/>
        <w:t>дней. Антисептик обеспечивает безопасное использование при операциях на</w:t>
        <w:br/>
        <w:t>мозговых оболочках, нить не теряет антисептических свойств присутствие</w:t>
        <w:br/>
        <w:t>веществ содержащих анионную группу »;</w:t>
        <w:br/>
        <w:t>по п.4 «Нить хирургическая из полиглекапрона» позиции КТРУ 21.20.24.120-</w:t>
        <w:br/>
        <w:t>00000007: «Состав нити: сополимер гликоната ».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</w:r>
    </w:p>
    <w:p>
      <w:r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Заказчик вправе самостоятельно формулировать предмет закупки и указывать</w:t>
        <w:br/>
        <w:t>КТРУ , который он считает соответствующим приобретаемому товару. По мнению</w:t>
        <w:br/>
        <w:t>представителя Заказчика, классификация КТРУ определяется основным</w:t>
        <w:br/>
        <w:t>материалом и назначением изделия (в данном случае — шовная нить из</w:t>
        <w:br/>
        <w:t>полиглекапрона). Нанесение антимикробного покрытия (триклозан) не меняет</w:t>
        <w:br/>
        <w:t>основного полимера и назначения изделия, а означает дополнительную</w:t>
        <w:br/>
        <w:t>функциональную обработку поверхности. Следовательно, с технической точки</w:t>
        <w:br/>
        <w:t>зрения триклозан — дополнительная характеристика (функциональная</w:t>
        <w:br/>
        <w:t>2026-22064</w:t>
        <w:br/>
        <w:t>5</w:t>
        <w:br/>
        <w:t>модификация), а не принципиально иной товарный класс. Изделие остаётся нитью</w:t>
        <w:br/>
        <w:t>на основе полиглекапрона.</w:t>
        <w:br/>
        <w:t>Тем самым представитель Заказчика презюмирует, что на позиции товаров, в</w:t>
        <w:br/>
        <w:t>которых установлены требования к антибактериальной активности, правомерно</w:t>
        <w:br/>
        <w:t>выбрана позиция КТРУ 21.20.24.120-00000007.</w:t>
        <w:br/>
        <w:t>Вместе с тем Комиссия Управления не может согласиться с позицией</w:t>
        <w:br/>
        <w:t>представителя Заказчика ввиду нижеследующего.</w:t>
        <w:br/>
        <w:t>Согласно справочной информации позиции КТРУ 21.20.24.120-00000007,</w:t>
        <w:br/>
        <w:t>размещенной в ЕИС, нить хирургическая из полиглекапрона кода номенклатурной</w:t>
        <w:br/>
        <w:t>классификации медицинского изделия (далее — код НКМИ) 170000 представляет</w:t>
        <w:br/>
        <w:t>собой «стерильную синтетическую рассасывающуюся мононить из полиглекапрона</w:t>
        <w:br/>
        <w:t>(сополимера гликолевой кислоты и ?-капролактона с низкой реактивностью по</w:t>
        <w:br/>
        <w:t>отношению к тканям), предназначенная для соединения (т.е., аппроксимации) краев</w:t>
        <w:br/>
        <w:t>раны мягких тканей или разреза путем сшивания или для лигирования мягких</w:t>
        <w:br/>
        <w:t>тканей; может комплектоваться иглой, которую необходимо утилизировать сразу</w:t>
        <w:br/>
        <w:t>после использования. Нить обеспечивает временную поддержку раны до тех пор,</w:t>
        <w:br/>
        <w:t>пока она не будет в достаточной степени вылечена, чтобы справляться с обычными</w:t>
        <w:br/>
        <w:t>нагрузками, и постепенно рассасывается посредством гидролиза. Это изделие</w:t>
        <w:br/>
        <w:t>одноразового использования».</w:t>
        <w:br/>
        <w:t>Таким образом, в соответствии со справочной информацией о позиции КТРУ</w:t>
        <w:br/>
        <w:t>21.20.24.120-00000007 такие нити не содержат антибактериальных</w:t>
        <w:br/>
        <w:t>веществ/материалов.</w:t>
        <w:br/>
        <w:t>В то время как согласно представленной информации в составе позиции</w:t>
        <w:br/>
        <w:t>КТРУ 21.20.24.120-00000010 нить хирургическая из полиглекапрона,</w:t>
        <w:br/>
        <w:t>антибактериальная кода НКМИ 170010 — это «стерильная синтетическая</w:t>
        <w:br/>
        <w:t>рассасывающаяся мононить из полиглекапрона (сополимера гликолевой кислоты</w:t>
      </w:r>
    </w:p>
    <w:p>
      <w:r>
        <w:t>и ?-капролактона с низкой реактивностью по отношению к тканям), содержащая</w:t>
        <w:br/>
        <w:t>вещество для местного ингибирования роста бактерий и предназначенная для</w:t>
        <w:br/>
        <w:t>соединения (т.е., аппроксимации) краев раны мягких тканей или разреза путем</w:t>
        <w:br/>
        <w:t>сшивания или для лигирования мягких тканей; может комплектоваться иглой,</w:t>
        <w:br/>
        <w:t>которую необходимо утилизировать сразу после использования. Нить обеспечивает</w:t>
        <w:br/>
        <w:t>временную поддержку раны до тех пор, пока она не будет в достаточной степени</w:t>
        <w:br/>
        <w:t>вылечена, чтобы справляться с обычными нагрузками, и постепенно рассасывается</w:t>
        <w:br/>
        <w:t>посредством гидролиза. Это изделие одноразового использования».</w:t>
        <w:br/>
        <w:t>По мнению Комиссии Управления, Заказчиком не учтено, что согласно п.4</w:t>
        <w:br/>
        <w:t>Правил использования КТРУ , Заказчики обязаны использовать сведения указанные</w:t>
        <w:br/>
        <w:t>в позиции КТРУ при формировании описания объекта закупки, при условии, что в</w:t>
        <w:br/>
        <w:t>КТРУ имеется позиция, соответствующая закупаемому изделию.</w:t>
        <w:br/>
        <w:t>Аналогичная правовая позиция изложена в постановлении Девятого</w:t>
        <w:br/>
        <w:t>арбитражного апелляционного суда по делу № А40-230806/23 от 29.02.2024.</w:t>
        <w:br/>
        <w:t>При этом Комиссия Управления полагает, что включение в описание объекта</w:t>
        <w:br/>
        <w:t>закупки требований, противоречащих базовому описанию выбранной позиции</w:t>
        <w:br/>
        <w:t>КТРУ , вводит участников закупки в заблуждение относительно свойств требуемого</w:t>
        <w:br/>
        <w:t>товара, поскольку КТРУ является инструментом описания Заказчиком</w:t>
        <w:br/>
        <w:t>унифицированного объекта закупки в соответствии с правилами, установленными</w:t>
        <w:br/>
        <w:t>2026-22064</w:t>
        <w:br/>
        <w:t>6</w:t>
        <w:br/>
        <w:t>ст.33 Закона о контрактной системе, а также требованиями к закупаемым</w:t>
        <w:br/>
        <w:t>заказчиком товарам, работам, услугам.</w:t>
        <w:br/>
        <w:t>На основании вышеизложенного Комиссией Управления приходит к выводу,</w:t>
        <w:br/>
        <w:t>что Заказчику следовало установить и использовать позицию КТРУ 21.20.24.120-</w:t>
        <w:br/>
        <w:t>00000010, а также о нарушении Заказчиком ч.6 ст.23, п.5 ч.1 ст.42 Закона о</w:t>
        <w:br/>
        <w:t>контрактной системе, что содержит признаки состава административного</w:t>
        <w:br/>
        <w:t>правонарушения, ответственность за которое предусмотрена ч.5 ст.7.30.1 Кодекса</w:t>
        <w:br/>
        <w:t>административных правонарушений.</w:t>
        <w:br/>
        <w:t>2.Одновременно с этим в составе жалобы Заявитель также обжалует действия</w:t>
        <w:br/>
        <w:t>Заказчика, выразившиеся в утверждении положений извещения в нарушение</w:t>
        <w:br/>
        <w:t>законодательства о контрактной системе, в частности неправомерном объединении</w:t>
        <w:br/>
        <w:t>в один лот поставки медицинских изделий разных видов номенклатурной</w:t>
        <w:br/>
        <w:t>классификации медицинских изделий, что противоречит требованиям</w:t>
        <w:br/>
        <w:t>постановления Правительства Российской Федерации от 19.04.2021 № 620 «О</w:t>
      </w:r>
    </w:p>
    <w:p>
      <w:r>
        <w:t>требовании к формированию лотов при осуществлении закупок медицинских</w:t>
        <w:br/>
        <w:t>изделий, являющихся объектом закупки для обеспечения государственных и</w:t>
        <w:br/>
        <w:t>муниципальных нужд» (далее — Постановление №620) , поскольку позициям</w:t>
        <w:br/>
        <w:t>описания объектов закупки соответствует позиции КТРУ 21.20.24.120-00000007 и</w:t>
        <w:br/>
        <w:t>21.20.24.120-00000010, соответствующие разные кодам НКМИ.</w:t>
        <w:br/>
        <w:t>При таких данных в составе жалобы Заявитель приходит к выводу о</w:t>
        <w:br/>
        <w:t>неправомерном объединении в один лот поставки медицинских изделий разных</w:t>
        <w:br/>
        <w:t>видов номенклатурной классификации медицинских изделий при превышении</w:t>
        <w:br/>
        <w:t>значительной начальной (максимальной) цены контракта в размере 1,5 млн. рублей,</w:t>
        <w:br/>
        <w:t>что противоречит требованиям Постановления №620.</w:t>
        <w:br/>
        <w:t>Согласно п.9 ч.1 ст.42 Закона о контрактной системе извещение об</w:t>
        <w:br/>
        <w:t>осуществлении закупки должно содержать информацию о, в том числе, начальной</w:t>
        <w:br/>
        <w:t>(максимальной) цене контракта (цене отдельных этапов исполнения контракта,</w:t>
        <w:br/>
        <w:t>если проектом контракта предусмотрены такие этапы), источник финансирования,</w:t>
        <w:br/>
        <w:t>наименование валюты в соответствии с общероссийским классификатором валют.</w:t>
        <w:br/>
        <w:t>П.2 ч.29 ст.34 Закона о контрактной системе установлено, что Правительство</w:t>
        <w:br/>
        <w:t>Российской Федерации вправе определить требования к формированию лотов при</w:t>
        <w:br/>
        <w:t>осуществлении закупок отдельных видов товаров, работ, услуг.</w:t>
        <w:br/>
        <w:t>П.1 Постановления №620 установлено, что при осуществлении закупок</w:t>
        <w:br/>
        <w:t>медицинских изделий не могут быть предметом одного контракта (одного лота)</w:t>
        <w:br/>
        <w:t>медицинские изделия различных видов в соответствии с номенклатурной</w:t>
        <w:br/>
        <w:t>классификацией медицинских изделий по видам, утвержденной Министерством</w:t>
        <w:br/>
        <w:t>здравоохранения Российской Федерации, при условии, что значение начальной</w:t>
        <w:br/>
        <w:t>(максимальной) цены контракта (цены лота) превышает:</w:t>
        <w:br/>
        <w:t>600 тыс. рублей - для заказчиков, у которых объем денежных средств,</w:t>
        <w:br/>
        <w:t>направленных на закупку медицинских изделий в предшествующем году, составил</w:t>
        <w:br/>
        <w:t>менее 50 млн. рублей;</w:t>
        <w:br/>
        <w:t>1 млн. рублей - для заказчиков, у которых объем денежных средств,</w:t>
        <w:br/>
        <w:t>направленных на закупку медицинских изделий в предшествующем году, составил от</w:t>
        <w:br/>
        <w:t>50 млн. рублей до 100 млн. рублей;</w:t>
        <w:br/>
        <w:t>2026-22064</w:t>
        <w:br/>
        <w:t>7</w:t>
        <w:br/>
        <w:t>1,5 млн. рублей - для заказчиков, у которых объем денежных средств,</w:t>
        <w:br/>
        <w:t>направленных на закупку медицинских изделий в предшествующем году, составил</w:t>
        <w:br/>
        <w:t>более 100 млн. рублей.</w:t>
        <w:br/>
        <w:t>При этом п.2 Постановления №620 установлено, что указанное в п.1</w:t>
      </w:r>
    </w:p>
    <w:p>
      <w:r>
        <w:t>Постановления №620 требование не применяется:</w:t>
        <w:br/>
        <w:t>при закупках медицинских изделий, объединенных в один лот (контракт) по</w:t>
        <w:br/>
        <w:t>контрактам жизненного цикла, заключаемым в случаях, установленных</w:t>
        <w:br/>
        <w:t>Правительством Российской Федерации;</w:t>
        <w:br/>
        <w:t>при закупках медицинских изделий, объединенных в один лот (контракт) с</w:t>
        <w:br/>
        <w:t>расходными материалами, которые совместимы с такими медицинскими изделиями;</w:t>
        <w:br/>
        <w:t>при закупках медицинских изделий, по результатам которых заключается</w:t>
        <w:br/>
        <w:t>контракт со встречными инвестиционными обязательствами в соответствии со ст.</w:t>
        <w:br/>
        <w:t>111.4 Закона о контрактной системе .</w:t>
        <w:br/>
        <w:t>Комиссией Управления установлено, согласно извещению о проведении</w:t>
        <w:br/>
        <w:t>аукциона, начальная (максимальная) цена контракта составляет 3 511 328,00 руб.</w:t>
        <w:br/>
        <w:t>Согласно Приложению № 1 к приказу Министерства здравоохранения</w:t>
        <w:br/>
        <w:t>Российской Федерации от 6 июня 2012 года № 4н «Об утверждении</w:t>
        <w:br/>
        <w:t>номенклатурной классификации медицинских изделий» (далее - Номенклатурная</w:t>
        <w:br/>
        <w:t>классификация) номенклатурная классификация медицинских изделий по видам</w:t>
        <w:br/>
        <w:t>(далее - классификация) содержит числовое обозначение вида медицинского</w:t>
        <w:br/>
        <w:t>изделия - идентификационный уникальный номер записи*, наименование вида</w:t>
        <w:br/>
        <w:t>медицинского изделия, описание вида медицинского изделия, содержащее</w:t>
        <w:br/>
        <w:t>соответствующие классификационные признаки вида медицинского изделия,</w:t>
        <w:br/>
        <w:t>указываемые в зависимости от назначения медицинского изделия.</w:t>
        <w:br/>
        <w:t>* Фиксируется начальное значение 100000 и для каждой последующей записи</w:t>
        <w:br/>
        <w:t>значение увеличивается на 10.</w:t>
        <w:br/>
        <w:t>Алгоритм формирования, применяемый для ведения номенклатурной</w:t>
        <w:br/>
        <w:t>классификации медицинских изделий по видам, представлен на схеме:</w:t>
        <w:br/>
        <w:t>Как установлено ранее, Комиссией Управления установлено, что согласно</w:t>
        <w:br/>
        <w:t>описанию объектов закупки к поставке требуются расходные материалы, в том</w:t>
        <w:br/>
        <w:t>числе:</w:t>
        <w:br/>
        <w:t>по п.1 «Нить хирургическая из полиглекапрона» позиции КТРУ 21.20.24.120-</w:t>
        <w:br/>
        <w:t>00000007, соответствующей коду НКМИ 170000 «Нить хирургическая из</w:t>
        <w:br/>
        <w:t>полиглекапрона»;</w:t>
        <w:br/>
        <w:t>по п.4 «Нить хирургическая из полиглекапрона» позиции КТРУ 21.20.24.120-</w:t>
        <w:br/>
        <w:t>00000010, соответствующей коду НКМИ 170010 «Нить хирургическая из</w:t>
        <w:br/>
        <w:t>2026-22064</w:t>
        <w:br/>
        <w:t>8</w:t>
        <w:br/>
        <w:t>полиглекапрона, антибактериальная».</w:t>
        <w:br/>
        <w:t>Комиссия Управления отмечает, что согласно номенклатурной классификации</w:t>
        <w:br/>
        <w:t>каждый отдельный вид медицинского изделия обладает уникальным</w:t>
        <w:br/>
        <w:t>идентификационным номером записи в формате шестизначного кода, при этом</w:t>
        <w:br/>
        <w:t>номенклатурная классификация также содержит классификации видов медицинских</w:t>
        <w:br/>
        <w:t>изделий по группам и подгруппам, при этом Постановлением № 620 однозначно</w:t>
      </w:r>
    </w:p>
    <w:p>
      <w:r>
        <w:t>указано, что предметом одного ко нтракта (одного лота) не могут быть медицинские</w:t>
        <w:br/>
        <w:t>изделия различных видов.</w:t>
        <w:br/>
        <w:t>Вышеуказанная позиция также находит свое подтверждение в решении</w:t>
        <w:br/>
        <w:t>Арбитражного суда г. Москвы по делу №А40-50307/2022-146-376 от 25.07.2022.</w:t>
        <w:br/>
        <w:t>При таких данных Комиссия Управления приходит к выводу о неправомерном</w:t>
        <w:br/>
        <w:t>объединении в один лот разных медицинских изделий вопреки требованиям</w:t>
        <w:br/>
        <w:t>Постановления № 620, при этом, Заказчик вправе снизить количество закупаемого</w:t>
        <w:br/>
        <w:t>товара в целях удовлетворения требований по отношении к предельному размеру</w:t>
        <w:br/>
        <w:t>начальной (максимальной) цены контракта, чтобы тем самым Заказчик смог</w:t>
        <w:br/>
        <w:t>закупить данные товары в одном лоте.</w:t>
        <w:br/>
        <w:t>Исходя из всего вышеизложенного, Комиссия Управления приходит к выводу</w:t>
        <w:br/>
        <w:t>о нарушении Заказчиком п.2 ч.29 ст.34 Закона о контрактной системе при</w:t>
        <w:br/>
        <w:t>объединении в один лот медицинских изделий, относящихся к разным видам</w:t>
        <w:br/>
        <w:t>номенклатурной классификации , что также свидетельствует о наличии в действиях</w:t>
        <w:br/>
        <w:t>Заказчика признаков состава административного правонарушения, ответственность</w:t>
        <w:br/>
        <w:t>за которое предусмотрена ч.5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2026-22064</w:t>
        <w:br/>
        <w:t>9</w:t>
        <w:br/>
        <w:t>РЕШИЛА:</w:t>
        <w:br/>
        <w:t>1.Признать жалобу ООО «УМК»» на действия ФГБНУ «РНЦХ им. акад. Б.В.</w:t>
        <w:br/>
        <w:t>Петровского» обоснованной .</w:t>
        <w:br/>
        <w:t>2.Признать в действиях Заказчика нарушение ч.6 ст.23, п.2 ч.29 ст.34, п.5 ч.1</w:t>
        <w:br/>
        <w:t>ст.42 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А.А. Кутейников</w:t>
        <w:br/>
        <w:t>Члены Комиссии:</w:t>
        <w:br/>
        <w:t>М.В. Сорбучева</w:t>
        <w:br/>
        <w:t>А.С. Гелмутдинова</w:t>
        <w:br/>
        <w:t>Исп.Сорбучева М.В.</w:t>
        <w:br/>
        <w:t>тел.8(495)784-75-05</w:t>
        <w:br/>
        <w:t>2026-22064</w:t>
      </w:r>
    </w:p>
    <w:p>
      <w:pPr>
        <w:pStyle w:val="Heading1"/>
      </w:pPr>
      <w:r>
        <w:t>Предписание</w:t>
      </w:r>
    </w:p>
    <w:p>
      <w:r>
        <w:t>ФГБНУ «РНЦХ им. акад. Б.В.</w:t>
        <w:br/>
        <w:t>Петровского»</w:t>
        <w:br/>
        <w:t>lyapin.aa@med.ru</w:t>
        <w:br/>
        <w:t>ООО «УМК»</w:t>
        <w:br/>
        <w:t>ymkayral@list.ru</w:t>
        <w:br/>
        <w:t>АО«ЕЭТП»</w:t>
        <w:br/>
        <w:t>ko@roseltorg.ru</w:t>
        <w:br/>
        <w:t>ПРЕДПИСАНИЕ</w:t>
        <w:br/>
        <w:t>по делу № 077/06/105-5371/2026 об устранении нарушений</w:t>
        <w:br/>
        <w:t>законодательства о контрактной системе</w:t>
        <w:br/>
        <w:t>29.04.2026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Члены Комиссии:</w:t>
        <w:br/>
        <w:t>Ведущего специалиста-эксперта отдела обжалования государственных закупок</w:t>
        <w:br/>
        <w:t>М.В. Сорбучевой,</w:t>
        <w:br/>
        <w:t>Специалиста-эксперта отдела обжалования государственных закупок</w:t>
        <w:br/>
        <w:t>А.С. Гелмутдиновой,</w:t>
        <w:br/>
        <w:t>на основании решения Комиссии от 29.04.2026 по делу № 077/06/106-</w:t>
        <w:br/>
        <w:t>9794/2025, по итогам рассмотрения жалобы ООО «УМК» (далее — Заявитель) на</w:t>
        <w:br/>
        <w:t>действия ФГБНУ «РНЦХ им. акад. Б.В. Петровского»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медицинских расходных материалов для нужд ФГБНУ</w:t>
        <w:br/>
        <w:t>«РНЦХ им. акад. Б.В. Петровского» (Закупка №0373100072126000679) (далее –</w:t>
        <w:br/>
        <w:t>аукцион)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по закупке.</w:t>
        <w:br/>
        <w:t>2. Оператору электронной площадки не позднее 1 рабочего дня со дня</w:t>
        <w:br/>
        <w:t>2026-22062</w:t>
        <w:br/>
        <w:t>2</w:t>
        <w:br/>
        <w:t>исполнения пункта 1 настоящего предписания по закупке: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 проведении электронного аукциона в соответствие с</w:t>
      </w:r>
    </w:p>
    <w:p>
      <w:r>
        <w:t>требованиями Закона о контрактной системе и с учетом решения от 29.04.2026 по</w:t>
        <w:br/>
        <w:t>делу № 077/06/106-9794/2025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29.04.2026 по делу № 077/06/106-9794/2025.</w:t>
        <w:br/>
        <w:t>6. Заказчику, комиссии по осуществлению закупок в срок до 13.04.2026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2026-22062</w:t>
        <w:br/>
        <w:t>3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</w:r>
    </w:p>
    <w:p>
      <w:r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29.04.2026 по делу № 077/06/106-9794/2025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</w:t>
        <w:br/>
        <w:t>М.В. Сорбучева</w:t>
        <w:br/>
        <w:t>А.С. Гелмутдинова</w:t>
        <w:br/>
        <w:t>Исп.Сорбучева М.В.</w:t>
        <w:br/>
        <w:t>тел.8(495)784-75-05</w:t>
        <w:br/>
        <w:t>2026-22062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