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202600132489008812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Опубликовано в ЕИС 20.05.2026 · в тексте решения — 21.05.2026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0373100048126000012</w:t>
      </w:r>
    </w:p>
    <w:p>
      <w:r>
        <w:rPr>
          <w:b/>
        </w:rPr>
        <w:t xml:space="preserve">Заказчик: </w:t>
      </w:r>
      <w:r>
        <w:t>Федеральное государственное бюджетное научное учреждение «Федеральный научный центр пищевых систем им. В.М. Горбатова» РАН</w:t>
      </w:r>
    </w:p>
    <w:p>
      <w:r>
        <w:rPr>
          <w:b/>
        </w:rPr>
        <w:t xml:space="preserve">Заявитель: </w:t>
      </w:r>
      <w:r>
        <w:t>ООО «Лабораторные расходные материалы»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https://zakupki.gov.ru/epz/complaint/card/complaint-information.html?complaintNumber=202600132489008812</w:t>
      </w:r>
    </w:p>
    <w:p/>
    <w:p>
      <w:pPr>
        <w:pStyle w:val="Heading1"/>
      </w:pPr>
      <w:r>
        <w:t>Решение</w:t>
      </w:r>
    </w:p>
    <w:p>
      <w:r>
        <w:t>АО «Сбербанк-АСТ»</w:t>
        <w:br/>
        <w:t>ko@sberba№k-ast.ru</w:t>
        <w:br/>
        <w:t>ООО «Лабораторные расходные</w:t>
        <w:br/>
        <w:t>материалы»</w:t>
        <w:br/>
        <w:t>ooo.lts.tmb@mail.ru</w:t>
        <w:br/>
        <w:t>ФГБНУ «ФНЦ пищевых систем им.</w:t>
        <w:br/>
        <w:t>В.М. Горбатова» Р АН</w:t>
        <w:br/>
        <w:t>d.bogda№ov@f№cps.ru</w:t>
        <w:br/>
        <w:t>РЕШЕНИЕ</w:t>
        <w:br/>
        <w:t>по делу № 077/06/105-6511/2026 о нарушении</w:t>
        <w:br/>
        <w:t>законодательства о контрактной системе</w:t>
        <w:br/>
        <w:t>21.05.2026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М.В. Сорбучевой,</w:t>
        <w:br/>
        <w:t>Ведущего специалиста-эксперта отдела обжалования государственных закупок</w:t>
        <w:br/>
        <w:t>А.А. Леоновой,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ФГБНУ «ФНЦ пищевых систем им. В.М. Горбатова» РАН : В.В. Вострикова</w:t>
        <w:br/>
        <w:t>(по дов. от 21.07.2025 №87-25/юр), участвующего до переноса заседания,</w:t>
        <w:br/>
        <w:t>ООО «Лабораторные расходные материалы»: С.В. Хомутова (по дов. от</w:t>
        <w:br/>
        <w:t>19.05.2026 №1), участвующего до и после переноса заседания,</w:t>
        <w:br/>
        <w:t>в присутствии слушателя ООО «Лабораторные расходные материалы»:</w:t>
        <w:br/>
        <w:t>М.Е. Шавимовой,</w:t>
        <w:br/>
        <w:t>рассмотрев жалобу ООО «Лабораторные расходные материалы» (далее —</w:t>
        <w:br/>
        <w:t>Заявитель) на действия ФГБНУ «ФНЦ пищевых систем им. В.М. Горбатова» Р АН</w:t>
        <w:br/>
        <w:t>(далее — Заказчик) при проведении электронного аукциона на право заключения</w:t>
        <w:br/>
        <w:t>государственного контракта на п оставку питательных сред для проведения</w:t>
        <w:br/>
        <w:t>микробиологических исследований (Закупка №0373100048126000012) (далее –</w:t>
        <w:br/>
        <w:t>аукцион, электронный аукцион), в соответствии с Федеральным законом от</w:t>
        <w:br/>
        <w:t>05.04.2013 №44-ФЗ «О контрактной системе в сфере закупок товаров, работ, услуг</w:t>
        <w:br/>
        <w:t>2026-26066</w:t>
        <w:br/>
        <w:t>2</w:t>
        <w:br/>
        <w:t>для обеспечения государственных и муниципальных нужд» (далее – Закон о</w:t>
        <w:br/>
        <w:t>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По результатам рассмотрения жалобы, рассмотрев представленные</w:t>
        <w:br/>
        <w:t>документы и сведения, запрашиваемые Московским УФАС России, Комиссия</w:t>
        <w:br/>
        <w:t>Управления установила следующее.</w:t>
        <w:br/>
        <w:t>Заявитель обжалует действия Заказчика, выразившиеся в утверждении</w:t>
        <w:br/>
        <w:t>положений извещения в нарушение законодательства о контрактной системе.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 системе,</w:t>
        <w:br/>
        <w:t>должно содержать описание объекта закупки в соответствии со ст.33 Закона о</w:t>
        <w:br/>
        <w:t>контрактной системе.</w:t>
        <w:br/>
        <w:t>В соответствии с п.1 ч.1 ст.33 Закона о контрактной системе заказчиком в</w:t>
      </w:r>
    </w:p>
    <w:p>
      <w:r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</w:t>
        <w:br/>
        <w:t>закупки (при необходимости). В описание объекта закупки не должны</w:t>
        <w:br/>
        <w:t>включаться требования или указания в отношении товарных знаков, знаков</w:t>
        <w:br/>
        <w:t>обслуживания, фирменных наименований, патентов, полезных моделей,</w:t>
        <w:br/>
        <w:t>промышленных образцов, наименование страны происхождения товара,</w:t>
        <w:br/>
        <w:t>требования к товарам, информации, работам, услугам при условии, что такие</w:t>
        <w:br/>
        <w:t>требования или указания влекут за собой ограничение количества участников</w:t>
        <w:br/>
        <w:t>закупки. Допускается использование в описании объекта закупки указания на</w:t>
        <w:br/>
        <w:t>товарный знак в следующих случаях:</w:t>
        <w:br/>
        <w:t>а)сопровождение такого указания словами «или эквивалент»;</w:t>
        <w:br/>
        <w:t>б)несовместимость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в)осуществление закупки запасных частей и расходных материалов к</w:t>
        <w:br/>
        <w:t>машинам и оборудованию, используемым заказчиком, в соответствии с</w:t>
        <w:br/>
        <w:t>технической документацией на указанные машины и оборудование;</w:t>
        <w:br/>
        <w:t>г)осуществление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</w:t>
        <w:br/>
        <w:t>медицинской документации пациента и журнале врачебной комиссии. Перечень</w:t>
        <w:br/>
        <w:t>указанных медицинских изделий, специализированных продуктов лечебного</w:t>
        <w:br/>
        <w:t>питания и порядок его формирования утверждаются Правительством Российской</w:t>
        <w:br/>
        <w:t>Федерации;</w:t>
        <w:br/>
        <w:t>Согласно ч.2 ст.33 Закона о контрактной системе описание объекта закупки</w:t>
        <w:br/>
        <w:t>в соответствии с требованиями, указанными в ч.1 ст.33 Закона о контрактной</w:t>
        <w:br/>
        <w:t>2026-26066</w:t>
        <w:br/>
        <w:t>3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</w:t>
        <w:br/>
        <w:t>показателей и (или) значения показателей, которые не могут изменяться.</w:t>
        <w:br/>
        <w:t>1. В составе жалобы Заявитель указывает, что при формировании лота и</w:t>
        <w:br/>
        <w:t>применении положений Постановления Правительства Российской Федерации от</w:t>
        <w:br/>
        <w:t>23.12.2024 № 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-Постановление № 1875).</w:t>
        <w:br/>
        <w:t>Согласно извещению Заказчиком установлены ограничения на закупку</w:t>
      </w:r>
    </w:p>
    <w:p>
      <w:r>
        <w:t>товаров, происходящих из иностранных государств, выполняемых работ,</w:t>
        <w:br/>
        <w:t>оказываемых услуг иностранными лицами, в силу Постановления № 1875.</w:t>
        <w:br/>
        <w:t>Вместе с тем, как отмечено в составе жалобы, в нарушение положений пп.</w:t>
        <w:br/>
        <w:t>«г» п.4 указанного Постановления №1875 Заказчиком неправомерно в один лот</w:t>
        <w:br/>
        <w:t>объединены позиции товаров, включенных 362 - 432 приложения № 2 к</w:t>
        <w:br/>
        <w:t>Постановлению № 1875 и не включенные в такие позиции (позиции 1, 4, 5, 9, 14,</w:t>
        <w:br/>
        <w:t>19, 15, 16, 22, 23 описания объекта закупки, не являющиеся медицинскими</w:t>
        <w:br/>
        <w:t>изделиями).</w:t>
        <w:br/>
        <w:t>На основании ч.1 ст.14 Закона о контрактной системе при осуществлении</w:t>
        <w:br/>
        <w:t>закупок 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 иностранное</w:t>
        <w:br/>
        <w:t>государство) товару, работе, услуге, соответственно выполняемой, оказываемой</w:t>
        <w:br/>
        <w:t>иностранным гражданином или иностранным юридическим лицом (далее -</w:t>
        <w:br/>
        <w:t>иностранное лицо), равные условия с товаром российского происхождения, работой,</w:t>
        <w:br/>
        <w:t>услугой, соответственно выполняемой, оказываемой российским гражданином или</w:t>
        <w:br/>
        <w:t>российским юридическим лицом (далее - российское лицо), за исключением случаев</w:t>
        <w:br/>
        <w:t>принятия Правительством Российской Федерации мер, предусмотренных п.1 ч.2</w:t>
        <w:br/>
        <w:t>ст.14 Закона о контрактной системе. Если иное не предусмотрено мерами,</w:t>
        <w:br/>
        <w:t>принятыми Правительством Российской Федерации в соответствии с п.1 ч.2 ст.14</w:t>
        <w:br/>
        <w:t>Закона о контрактной системе, положения ст.14 Закона о контрактной системе,</w:t>
        <w:br/>
        <w:t>касающиеся товара российского происхождения, работы, услуги, соответственно</w:t>
        <w:br/>
        <w:t>выполняемой, оказываемой российским лицом, применяются также в отношении</w:t>
        <w:br/>
        <w:t>товара, происходящего из иностранного государства, работы, услуги, соответственно</w:t>
        <w:br/>
        <w:t>выполняемой, оказываемой иностранным лицом, которым предоставляются равные</w:t>
        <w:br/>
        <w:t>условия с товаром российского происхождения, работой, услугой, соответственно</w:t>
        <w:br/>
        <w:t>выполняемой, 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2026-26066</w:t>
        <w:br/>
        <w:t>4</w:t>
        <w:br/>
        <w:t>лицами;</w:t>
        <w:br/>
        <w:t>б) ограничение закупок товаров (в том числе поставляемых при выполнении</w:t>
      </w:r>
    </w:p>
    <w:p>
      <w:r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</w:t>
        <w:br/>
        <w:t>по результатам рассмотрения признана соответствующей требованиям извещения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допускается.</w:t>
        <w:br/>
        <w:t>П.1 Постановления №1875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гражданами, иностранными юридическими лицами (далее - иностранные лица), по</w:t>
        <w:br/>
        <w:t>перечню согласно приложению № 1, а также закупок в рамках государственного</w:t>
        <w:br/>
        <w:t>оборонного заказа товаров (в том числе поставляемых при выполнении закупаемых</w:t>
        <w:br/>
        <w:t>работ, оказании закупаемых услуг), происходящих из иностранных государств,</w:t>
      </w:r>
    </w:p>
    <w:p>
      <w:r>
        <w:t>работ, услуг, соответственно выполняемых, оказываемых иностранными лицами;</w:t>
        <w:br/>
        <w:t>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лицами, по перечню согласно приложению № 2;</w:t>
        <w:br/>
        <w:t>2026-26066</w:t>
        <w:br/>
        <w:t>5</w:t>
        <w:br/>
        <w:t>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услуг).</w:t>
        <w:br/>
        <w:t>Согласно п.2 ч.29 ст.34 Закона о контрактной системе Правительство</w:t>
        <w:br/>
        <w:t>Российской Федерации вправе определить требования к формированию лотов при</w:t>
        <w:br/>
        <w:t>осуществлении закупок отдельных видов товаров, работ, услуг.</w:t>
        <w:br/>
        <w:t>В соответствии с абз.9 пп. «г» п. 4 Постановления №1875 при осуществлении</w:t>
        <w:br/>
        <w:t>закупок в соответствии с Законом о контрактной системе, Федеральным законом</w:t>
        <w:br/>
        <w:t>«О закупках товаров, работ, услуг отдельными видами юридических лиц», за</w:t>
        <w:br/>
        <w:t>исключением закупок у единственного поставщика (подрядчика, исполнителя) и</w:t>
        <w:br/>
        <w:t>закупок у единственного поставщика (исполнителя, подрядчика) соответственно,</w:t>
        <w:br/>
        <w:t>не могут быть включены в предмет одного контракта (одного лота), одного</w:t>
        <w:br/>
        <w:t>договора (одного лота) товары, указанные в позициях 17, 139 - 141 приложения №</w:t>
        <w:br/>
        <w:t>1 к Постановлению №1875, 179, 189, 320 (в части дефибрилляторов), 362 - 432</w:t>
        <w:br/>
        <w:t>приложения № 2 к Постановлению № 1875, и товары, не указанные в таких</w:t>
        <w:br/>
        <w:t>позициях.</w:t>
        <w:br/>
        <w:t>На основании пп. «д» п. 4 Постановления № 1875 позиции приложения № 1 к</w:t>
        <w:br/>
        <w:t>Постановлению № 1875 и приложения № 2 к Постановлению № 1875</w:t>
        <w:br/>
        <w:t>применяются, если в объект закупки включены товар, работа, услуга,</w:t>
        <w:br/>
        <w:t>наименования которых указаны в графе «Наименование товара, работы, услуги» и</w:t>
        <w:br/>
        <w:t>которые включены в код, указанный в графе «Код товара, работы, услуги по</w:t>
        <w:br/>
        <w:t>Общероссийскому классификатору продукции по видам экономической</w:t>
        <w:br/>
        <w:t>деятельности ОК 034-2014 (КПЕС 2008)», или если в объект закупки включен</w:t>
        <w:br/>
        <w:t>товар, наименование которого указано в графе «Наименование товара» и который</w:t>
        <w:br/>
        <w:t>включен в код, указанный в графе «Код товара по Общероссийскому</w:t>
        <w:br/>
        <w:t>классификатору продукции по видам экономической деятельности ОК 034-2014</w:t>
      </w:r>
    </w:p>
    <w:p>
      <w:r>
        <w:t>(КПЕС 2008)». При этом если в объект закупки включено медицинское изделие,</w:t>
        <w:br/>
        <w:t>соответствующая позиция применяется, если закупаемое медицинское изделие</w:t>
        <w:br/>
        <w:t>также относится к указанному в графе «Наименование товара, работы, услуги» или</w:t>
        <w:br/>
        <w:t>графе «Наименование товара» коду вида медицинского изделия в соответствии с</w:t>
        <w:br/>
        <w:t>номенклатурной классификацией медицинских изделий, утвержденной</w:t>
        <w:br/>
        <w:t>Министерством здравоохранения Российской Федерации.</w:t>
        <w:br/>
        <w:t>Кроме того, согласно абз. 3 п. 3.2 информационного письма Министерства</w:t>
        <w:br/>
        <w:t>финансов Российской Федерации от 31.01.2025 № 24-01-06 /8697 при применении</w:t>
        <w:br/>
        <w:t>Постановления № 1875 не предусматривается обеспечение дословного соответствия</w:t>
        <w:br/>
        <w:t>наименований, указанных в описании объекта закупки (предмета закупки),</w:t>
        <w:br/>
        <w:t>наименованиями, указанным в перечнях №1 - №3.</w:t>
        <w:br/>
        <w:t>Исходя из положений п.15 ч.1 ст.42 Закона о контрактной системе, при</w:t>
        <w:br/>
        <w:t>осуществлении закупки путем проведения открытых конкурентных способов</w:t>
        <w:br/>
        <w:t>заказчик формирует с использованием единой информационной системы,</w:t>
        <w:br/>
        <w:t>подписывает усиленной электронной подписью лица, имеющего право действовать</w:t>
        <w:br/>
        <w:t>от имени заказчика, и размещает в единой информационной системе извещение об</w:t>
        <w:br/>
        <w:t>осуществлении закупки, содержащее информацию о запрете или об ограничении</w:t>
        <w:br/>
        <w:t>закупок товаров (в том числе поставляемых при выполнении закупаемых работ,</w:t>
        <w:br/>
        <w:t>оказании закупаемых услуг), происходящих из иностранных государств, работ,</w:t>
        <w:br/>
        <w:t>2026-26066</w:t>
        <w:br/>
        <w:t>6</w:t>
        <w:br/>
        <w:t>услуг, соответственно выполняемых, оказываемых иностранными лицами, о</w:t>
        <w:br/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  <w:br/>
        <w:t>Комиссией Управления определено, что в соответствии с описанием объекта</w:t>
        <w:br/>
        <w:t>закупки Заказчиком закупаются следующие питательные среды для проведения</w:t>
        <w:br/>
        <w:t>микробиологических исследований, например:</w:t>
        <w:br/>
        <w:t>по п.1 «Питательная среда КМАФАнМ» кода ОКПД2 20.59.52.199;</w:t>
        <w:br/>
        <w:t>по п.2 «ГРМ-бульон» кода ОКПД2 20.59.52.199;</w:t>
        <w:br/>
        <w:t>по п.3 «Триптон-соевый агар» кода ОКПД2 20.59.52.199;</w:t>
        <w:br/>
        <w:t>по п.4 «Агар Сабуро с хлорамфениколом» кода ОКПД2 20.59.52.199.</w:t>
      </w:r>
    </w:p>
    <w:p>
      <w:r>
        <w:t>Относительно национального режима в составе извещения Заказчиком</w:t>
        <w:br/>
        <w:t>установлены ограничения закупок товаров, происходящих из иностранных</w:t>
        <w:br/>
        <w:t>государств, в соответствии с Постановлением № 1875 в отношении всех закупаемых</w:t>
        <w:br/>
        <w:t>товаров.</w:t>
        <w:br/>
        <w:t>При этом Комиссией Управления определено, что выбранный Заказчиком код</w:t>
        <w:br/>
        <w:t>ОКПД2 20.59.52.199 «Реагенты сложные диагностические или лабораторные</w:t>
        <w:br/>
        <w:t>прочие, не включенные в другие группировки» указан в позиции 368 «Наборы</w:t>
        <w:br/>
        <w:t>биохимических реагентов для определения ферментов» приложения № 2 к</w:t>
        <w:br/>
        <w:t>Постановлению № 1875.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что,</w:t>
        <w:br/>
        <w:t>действительно, в лот объединены товары, являющиеся медицинскими и не</w:t>
        <w:br/>
        <w:t>являющимися таковыми.</w:t>
        <w:br/>
        <w:t>Так, позициями, которые являются медицинскими изделиями, обладающими</w:t>
        <w:br/>
        <w:t>регистрационными удостоверениями являются:</w:t>
        <w:br/>
        <w:t>п.2 «ГРМ-бульон» (артикул О2-К): регистрационное удостоверение №ФСР</w:t>
        <w:br/>
        <w:t>2007/00002;</w:t>
        <w:br/>
        <w:t>п.3 «Триптон-соевый агар» (О154-К): регистрационное удостоверение №РЗН</w:t>
        <w:br/>
        <w:t>2017/6544;</w:t>
        <w:br/>
        <w:t>п.6 «Среда Кесслера-ГРМ» (О13-К): регистрационное удостоверение №ФСР</w:t>
        <w:br/>
        <w:t>2007/00971;</w:t>
        <w:br/>
        <w:t>п.8 «Агар Эндо-ГРМ» (О11-К): регистрационное удостоверение №ФСР</w:t>
        <w:br/>
        <w:t>2007/00375;</w:t>
        <w:br/>
        <w:t>п.10 «RVS-бульон» (О15-К): регистрационное удостоверение №ФСР</w:t>
        <w:br/>
        <w:t>2010/09163;</w:t>
        <w:br/>
        <w:t>2026-26066</w:t>
        <w:br/>
        <w:t>7</w:t>
        <w:br/>
        <w:t>п.11 «Висмут-сульфит-ГРМ агар» (О12-К): регистрационное удостоверение</w:t>
        <w:br/>
        <w:t>№ФСР 2008/03237;</w:t>
        <w:br/>
        <w:t>п.17 «TCBS-агар» (О96-К): регистрационное удостоверение №РЗН 2013/271;</w:t>
        <w:br/>
        <w:t>п.18 «Щелочной агар» (О38-К): регистрационное удостоверение №ФСР</w:t>
        <w:br/>
        <w:t>2009/05473;</w:t>
        <w:br/>
        <w:t>п.20,21 «Среды для выявления Proteus, Morganella, Providencia (О255-К,</w:t>
        <w:br/>
        <w:t>О270)»: регистрационное удостоверение №РЗН 2022/16411.</w:t>
        <w:br/>
        <w:t>Одновременно в составе лота присутствует группа товаров, выполняющие</w:t>
        <w:br/>
        <w:t>вспомогательную, «расходную» функцию по отношению к зарегистрированным</w:t>
        <w:br/>
        <w:t>медицинским изделиям, и не относящиеся к медицинским, в том числе:</w:t>
        <w:br/>
        <w:t>п.1 «Питательная среда КМАФАнМ» (артикул О146) — основа для</w:t>
        <w:br/>
        <w:t>микробиологического анализа;</w:t>
        <w:br/>
        <w:t>п.4 «Агар Сабуро с хлорамфениколом» (О156) — среда для культивирования</w:t>
        <w:br/>
        <w:t>грибов;</w:t>
        <w:br/>
        <w:t>п.5 «Бульон Сабуро» (О97) — жидкая среда для грибов;</w:t>
        <w:br/>
        <w:t>п.7 «Бульон МакКонки-ГРМ» (О4-К) — среда для энтеробактерий;</w:t>
        <w:br/>
        <w:t>п.9 «Забуферная пептонная вода» (О145) — среда для накопления бактерий;</w:t>
      </w:r>
    </w:p>
    <w:p>
      <w:r>
        <w:t>п.12 «ПБЛ / ПАЛ (среды для листерий)» (О73, О74) — среды для</w:t>
        <w:br/>
        <w:t>специфического вида бактерий;</w:t>
        <w:br/>
        <w:t>п.14 «MYP агар (для Bacillus cereus) (О251)» — среда с селективной</w:t>
        <w:br/>
        <w:t>добавкой;</w:t>
        <w:br/>
        <w:t>п.15 «Калий теллурит, 2% раствор» (О143) — селективная добавка;</w:t>
        <w:br/>
        <w:t>п.16 «Селективная добавка к листериям» (О75) — добавка к питательным</w:t>
        <w:br/>
        <w:t>средам;</w:t>
        <w:br/>
        <w:t>п.22 «Карбамид (мочевина)» (О68) — компонент для биохимической</w:t>
        <w:br/>
        <w:t>идентификации;</w:t>
        <w:br/>
        <w:t>п.23 «Глюкоза (декстроза)» (О63) — ингредиент для сред.</w:t>
        <w:br/>
        <w:t>При этом Заявителем не учтены положения пп. «в» п.4 Постановления</w:t>
        <w:br/>
        <w:t>№1875, согласно которыми, если иное не установлено в соответствии с Законом о</w:t>
        <w:br/>
        <w:t>контрактной системе, с Федеральным законом «О закупках товаров, работ, услуг</w:t>
        <w:br/>
        <w:t>отдельными видами юридических лиц» и принятыми в соответствии с ними</w:t>
        <w:br/>
        <w:t>нормативными правовыми актами, в том числе настоящим постановлением,</w:t>
        <w:br/>
        <w:t>допускается включать в один объект закупки (предмет закупки) товары, работы,</w:t>
        <w:br/>
        <w:t>услуги как указанные в приложении № 1 к Постановлению №1875 и приложении</w:t>
        <w:br/>
        <w:t>№ 2 к Постановлению №1875, так и не указанные в таких приложениях, при этом к</w:t>
        <w:br/>
        <w:t>включенным в объект закупки товарам, работам, услугам, указанным в приложении</w:t>
        <w:br/>
        <w:t>№ 2 к Постановлению №1875, применяются положения настоящего постановления,</w:t>
        <w:br/>
        <w:t>касающиеся ограничения, указанного в п.1 Постановления №1875.</w:t>
        <w:br/>
        <w:t>В связи с чем представитель Заказчика презюмирует, что включение</w:t>
        <w:br/>
        <w:t>Заказчиком в один лот медицинских изделий по п.2, 3, 6, 7, 8, 10, 11, 12, 13, 17, 20,</w:t>
        <w:br/>
        <w:t>21 описания объекта закупки, входящих в перечень приложения №2 к</w:t>
        <w:br/>
        <w:t>Постановлению №1875, и иных товаров, не указанных в приложении № 2 к</w:t>
        <w:br/>
        <w:t>Постановлению №1875 ( п.1, 4, 5, 9, 14, 19, 15, 16, 22, 23 описания объекта</w:t>
        <w:br/>
        <w:t>закупки), является правомерным.</w:t>
        <w:br/>
        <w:t>2026-26066</w:t>
        <w:br/>
        <w:t>8</w:t>
        <w:br/>
        <w:t>Комиссия Управления не может согласиться с позицией представителя</w:t>
        <w:br/>
        <w:t>Заказчика, поскольку в рассматриваемой ситуации среди требуемых к поставке</w:t>
        <w:br/>
        <w:t>товаров, на которые распространяются ограничения Постановления №1875 и</w:t>
        <w:br/>
        <w:t>которые включены в приложение №2 за п. 368, Заказчиком предусмотрена закупка</w:t>
      </w:r>
    </w:p>
    <w:p>
      <w:r>
        <w:t>товаров, которые не входят ни в одно из приложений Постановления №1875, в</w:t>
        <w:br/>
        <w:t>результате чего необходимо соблюдать требования абз.9 пп. «г» п. 4 Постановления</w:t>
        <w:br/>
        <w:t>№1875.</w:t>
        <w:br/>
        <w:t>Например, по п.2 закупается изделие, которое не является медицинским и,</w:t>
        <w:br/>
        <w:t>соответственно, не входящее в перечень приложений 1,2 Постановления №1875.</w:t>
        <w:br/>
        <w:t>При вышеописанных данных Комиссия Управления приходит к выводу о том,</w:t>
        <w:br/>
        <w:t>что для осуществления данных закупок Заказчику следует разделить лоты на</w:t>
        <w:br/>
        <w:t>товары, указанные в позициях 362 - 432 приложения № 2 к Постановлению №</w:t>
        <w:br/>
        <w:t>1875, и товары, не указанные в таких позициях.</w:t>
        <w:br/>
        <w:t>Исходя из вышеизложенного, Комиссия Управления приходит к выводу о</w:t>
        <w:br/>
        <w:t>нарушении Заказчиком п. 2 ч. 29 ст. 34 Закона о контрактной системе,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2.В составе жалобы Заявитель также указывает, что в описание объекта</w:t>
        <w:br/>
        <w:t>закупки не использована позиция каталога товаров, работ, услуг для обеспечения</w:t>
        <w:br/>
        <w:t>государственных и муниципальных нужд (далее — КТРУ), что повлияло на</w:t>
        <w:br/>
        <w:t>самостоятельном описании объекта закупки в соответствии со ст.33 Закона о</w:t>
        <w:br/>
        <w:t>контрактной системе, в частности:</w:t>
        <w:br/>
        <w:t>по п.2 «ГРМ-бульон» описания объекта закупки соответствует КТРУ</w:t>
        <w:br/>
        <w:t>20.59.52.140-00000145 «Питательный бульон питательная среда ИВД»;</w:t>
        <w:br/>
        <w:t>по п.8 описания объекта закупки соответствует КТРУ 20.59.52.140-00000138</w:t>
        <w:br/>
        <w:t>«Агар для Enterobacteriaceae питательная среда ИВД»;</w:t>
        <w:br/>
        <w:t>по п.11 «Висмут-сульфит-ГРМ агар» описания объекта закупки соответствует</w:t>
        <w:br/>
        <w:t>КТРУ 20.59.52.140-00000494 «Агар с сульфитом висмута для Salmonella spp.</w:t>
        <w:br/>
        <w:t>питательная среда ИВД».</w:t>
        <w:br/>
        <w:t>В силу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  <w:br/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</w:r>
    </w:p>
    <w:p>
      <w:r>
        <w:t>Постановлением Правительства Российской Федерации от 08.02.2017 №145</w:t>
        <w:br/>
        <w:t>утверждены Правила формирования и ведения в единой информационной системе в</w:t>
        <w:br/>
        <w:t>сфере закупок каталога товаров, работ, услуг для обеспечения государственных и</w:t>
        <w:br/>
        <w:t>муниципальных нужд (далее — правила формирования КТРУ) и Правила</w:t>
        <w:br/>
        <w:t>использования каталога товаров, работ, услуг для обеспечения государственных и</w:t>
        <w:br/>
        <w:t>муниципальных нужд (далее — Правила использования КТРУ).</w:t>
        <w:br/>
        <w:t>2026-26066</w:t>
        <w:br/>
        <w:t>9</w:t>
        <w:br/>
        <w:t>На основании п.14 ч.3 ст.4 Закона о контрактной системе единая</w:t>
        <w:br/>
        <w:t>информационная система содержит каталог товаров, работ, услуг для обеспечения</w:t>
        <w:br/>
        <w:t>государственных и муниципальных нужд.</w:t>
        <w:br/>
        <w:t>Согласно ч.6 ст.23 Закона о контрактной системе порядок формирования и</w:t>
        <w:br/>
        <w:t>ведения в единой информационной системе каталога товаров, работ, услуг для</w:t>
        <w:br/>
        <w:t>обеспечения государственных и муниципальных нужд, а также правила</w:t>
        <w:br/>
        <w:t>использования указанного каталога устанавливаются Правительством Российской</w:t>
        <w:br/>
        <w:t>Федерации.</w:t>
        <w:br/>
        <w:t>Согласно пп.«а» п.2 Правила использования КТРУ каталог используется</w:t>
        <w:br/>
        <w:t>заказчиками в целях обеспечения применения информации о товарах, работах,</w:t>
        <w:br/>
        <w:t>услугах, в том числе в:</w:t>
        <w:br/>
        <w:t>-извещении об осуществлении закупки;</w:t>
        <w:br/>
        <w:t>-приглашении принять участие в определении поставщика (подрядчика,</w:t>
        <w:br/>
        <w:t>исполнителя) (далее — приглашение);</w:t>
        <w:br/>
        <w:t>-документации о закупке (в случае если Федеральным законом</w:t>
        <w:br/>
        <w:t>предусмотрена документация о закупке);</w:t>
        <w:br/>
        <w:t>-контракте;</w:t>
        <w:br/>
        <w:t>-реестре контрактов, заключенных заказчиками.</w:t>
        <w:br/>
        <w:t>На основании п.4 Правил использования КТРУ Заказчики обязаны применять</w:t>
        <w:br/>
        <w:t>информацию, включенную в позицию каталога в соответствии с пп.«а» - «г» и «е» -</w:t>
        <w:br/>
        <w:t>«з» п.10 Правил формирования КТРУ . При этом заказчик обязан при осуществлении</w:t>
        <w:br/>
        <w:t>закупки использовать информацию, включенную в соответствующую позицию, в</w:t>
        <w:br/>
        <w:t>том числе указывать согласно такой позиции следующую информацию:</w:t>
        <w:br/>
        <w:t>а) наименование товара, работы, услуги;</w:t>
        <w:br/>
        <w:t>б) единицы измерения количества товара, объема выполняемой работы,</w:t>
        <w:br/>
        <w:t>оказываемой услуги (при наличии);</w:t>
        <w:br/>
        <w:t>в) описание товара, работы, услуги (при наличии такого описания в позиции).</w:t>
        <w:br/>
        <w:t>В силу п.5 Правил использования КТРУ Заказчик вправе указать в извещении</w:t>
        <w:br/>
        <w:t>об осуществлении закупки, приглашении и документации о закупке (в случае если</w:t>
        <w:br/>
        <w:t>Законом о контрактной системе предусмотрена документация о закупке)</w:t>
        <w:br/>
        <w:t>дополнительную информацию, а также дополнительные потребительские свойства,</w:t>
      </w:r>
    </w:p>
    <w:p>
      <w:r>
        <w:t>в том числе функциональные, технические, качественные, эксплуатационные</w:t>
        <w:br/>
        <w:t>характеристики товара, работы, услуги в соответствии с положениями с.33 Закона о</w:t>
        <w:br/>
        <w:t>контрактной системе, которые не предусмотрены в позиции каталога.</w:t>
        <w:br/>
        <w:t>Вместе с тем в силу п. 6 Правил использования КТРУ в случае</w:t>
        <w:br/>
        <w:t>предоставления дополнительной информации, предусмотренной п. 5 Правил,</w:t>
        <w:br/>
        <w:t>заказчик обязан включить в описание товара, работы, услуги обоснование</w:t>
        <w:br/>
        <w:t>необходимости использования такой информации (при наличии описания товара,</w:t>
        <w:br/>
        <w:t>работы, услуги в позиции каталога).</w:t>
        <w:br/>
        <w:t>При этом п.7 Правил использования КТРУ регламентировано, что в случае</w:t>
        <w:br/>
        <w:t>осуществления закупки товара, работы, услуги, в отношении которых в каталоге</w:t>
        <w:br/>
        <w:t>отсутствуют соответствующие позиции, заказчик осуществляет описание товара,</w:t>
        <w:br/>
        <w:t>работы, услуги в соответствии с требованиями ст.33 Закона о контрактной системе.</w:t>
        <w:br/>
        <w:t>При проведении предусмотренных Законом о контрактной системе электронных</w:t>
        <w:br/>
        <w:t>процедур, закрытых электронных процедур характеристики объекта закупки,</w:t>
        <w:br/>
        <w:t>2026-26066</w:t>
        <w:br/>
        <w:t>10</w:t>
        <w:br/>
        <w:t>предусмотренные п.1 ч.1 ст.33 Закона о контрактной системе, указываются с</w:t>
        <w:br/>
        <w:t>использованием единой информационной системы при формировании извещения</w:t>
        <w:br/>
        <w:t>об осуществлении закупки, приглашения принять участие в определении</w:t>
        <w:br/>
        <w:t>поставщика (подрядчика, исполнителя) в соответствии с ч.1 ст.42, п.1 ч.1 ст.75</w:t>
        <w:br/>
        <w:t>Закона о контрактной системе соответственно.</w:t>
        <w:br/>
        <w:t>В качестве кода каталога товара, работы, услуги, на которые в каталоге</w:t>
        <w:br/>
        <w:t>отсутствует соответствующая позиция, указывается код такого товара, работы,</w:t>
        <w:br/>
        <w:t>услуги согласно Общероссийскому классификатору продукции по видам</w:t>
        <w:br/>
        <w:t>экономической деятельности (ОКПД2) ОК 034-2014.</w:t>
        <w:br/>
        <w:t>Комиссией Управления установлено, что при формировании описания</w:t>
        <w:br/>
        <w:t>объекта закупки Заказчиком использован код ОКПД2 20.59.52.199 «Реагенты</w:t>
        <w:br/>
        <w:t>сложные диагностические или лабораторные прочие, не включенные в другие</w:t>
        <w:br/>
        <w:t>группировки» в том числе для позиций 2 «ГРМ-бульон», по п.8 «Агар Эндо-ГРМ»,</w:t>
        <w:br/>
        <w:t>по п.11 «Висмут-сульфит-ГРМ агар».</w:t>
        <w:br/>
        <w:t>Согласно пояснениям Заказчика при формировании извещения Заказчиком</w:t>
        <w:br/>
        <w:t>определено, что в КТРУ отсутствуют соответствующие позиции, в связи с чем при</w:t>
        <w:br/>
        <w:t>описании объектов закупки в частности по п.2, 8,11 Заказчик самостоятельно</w:t>
        <w:br/>
        <w:t>осуществил описание объектов закупки. Более того, код ОКПД2 20.59.52.199</w:t>
        <w:br/>
        <w:t>«Реагенты сложные диагностические или лабораторные прочие, не включенные в</w:t>
      </w:r>
    </w:p>
    <w:p>
      <w:r>
        <w:t>другие группировки» является укрупненным и полностью охватывает закупаемую</w:t>
        <w:br/>
        <w:t>номенклатуру, включая как питательные среды, так и диагностические реагенты и</w:t>
        <w:br/>
        <w:t>добавки.</w:t>
        <w:br/>
        <w:t>Вместе с тем на заседании Комиссии Управления представитель Заказчика</w:t>
        <w:br/>
        <w:t>затруднился пояснить несоответствие указанных в составе жалобы позиций КТРУ</w:t>
        <w:br/>
        <w:t>20.59.52.140-00000145, 20.59.52.140-00000138, 20.59.52.140-00000494 закупаемым</w:t>
        <w:br/>
        <w:t>питательным средам по п.2, 8, 11.</w:t>
        <w:br/>
        <w:t>В связи с чем Комиссией Управления объявлен перенос заседания по</w:t>
        <w:br/>
        <w:t>рассмотрению жалобы по существу с целью предоставления возможности</w:t>
        <w:br/>
        <w:t>сторонам представления дополнительных документов и сведений,</w:t>
        <w:br/>
        <w:t>подтверждающих их позицию.</w:t>
        <w:br/>
        <w:t>После объявленного перерыва заседание Комиссии Управления</w:t>
        <w:br/>
        <w:t>продолжилось, присутствовал представитель Заявителя.</w:t>
        <w:br/>
        <w:t>Комиссия Управления считает необходимым отметить, что после</w:t>
        <w:br/>
        <w:t>объявленного переноса в материалы дела Заказчиком направлены дополнительные</w:t>
        <w:br/>
        <w:t>пояснения, однако из этих документов и сведений также не следует информация о</w:t>
        <w:br/>
        <w:t>несоответствии вышеуказанных позиций КТРУ 20.59.52.140-00000145,</w:t>
        <w:br/>
        <w:t>20.59.52.140-00000138, 20.59.52.140-00000494 товарам по п.2, 8, 11.</w:t>
        <w:br/>
        <w:t>При таких обстоятельствах Комиссия Управления также отмечает, что</w:t>
        <w:br/>
        <w:t>согласно п.4 Правил использования КТРУ , Заказчики обязаны использовать</w:t>
        <w:br/>
        <w:t>сведения указанные в позиции КТРУ при формировании описания объекта закупки,</w:t>
        <w:br/>
        <w:t>при условии, что в КТРУ имеется позиция, соответствующая закупаемому</w:t>
        <w:br/>
        <w:t>изделию.</w:t>
        <w:br/>
        <w:t>Аналогичная правовая позиция изложена в постановлении Девятого</w:t>
        <w:br/>
        <w:t>арбитражного апелляционного суда по делу № А40-230806/23 от 29.02.2024.</w:t>
        <w:br/>
        <w:t>2026-26066</w:t>
        <w:br/>
        <w:t>11</w:t>
        <w:br/>
        <w:t>Кроме того, Комиссия Управления полагает, что Заказчиком при</w:t>
        <w:br/>
        <w:t>формировании описания объектов закупки не учтено, что в силу Правил</w:t>
        <w:br/>
        <w:t>использования КТРУ Заказчики обязаны применять информацию, включенную в</w:t>
        <w:br/>
        <w:t>позицию каталога, при этом неприменение наиболее релевантной позиции КТРУ</w:t>
        <w:br/>
        <w:t>по причине недостаточности характеристик противоречит цели использования</w:t>
        <w:br/>
        <w:t>Заказчиками позиций КТРУ , поскольку КТРУ является инструментом описания</w:t>
        <w:br/>
        <w:t>Заказчиком унифицированного объекта закупки в соответствии с правилами,</w:t>
        <w:br/>
        <w:t>установленными ст.33 Закона о контрактной системе, а также требованиями к</w:t>
        <w:br/>
        <w:t>закупаемым заказчиком товарам, работам, услугам.</w:t>
        <w:br/>
        <w:t>На основании вышеизложенного Комиссией Управления приходит к выводу,</w:t>
        <w:br/>
        <w:t>что Заказчику следовало установить и использовать позицию КТРУ 32.50.12.190-</w:t>
        <w:br/>
        <w:t>00000045, а также о нарушении Заказчиком ч.6 ст.23, п.5 ч.1 ст.42 Закона о</w:t>
      </w:r>
    </w:p>
    <w:p>
      <w:r>
        <w:t>контрактной системе, что содержит признаки состава административного</w:t>
        <w:br/>
        <w:t>правонарушения, ответственность за которое предусмотрена ч.5 ст.7.30.1 Кодекса</w:t>
        <w:br/>
        <w:t>административных правонарушений.</w:t>
        <w:br/>
        <w:t>3.Одновременно с этим согласно доводам жалобы Заказчиком неправомерно</w:t>
        <w:br/>
        <w:t>указаны артикулы производителя товара с сопровождением такого указания</w:t>
        <w:br/>
        <w:t>словами «или эквивалент», при этом такое описание обусловлено Заказчиком</w:t>
        <w:br/>
        <w:t>необходимостью взаимодействия закупаемого товара с утвержденной процедурой</w:t>
        <w:br/>
        <w:t>исследования.</w:t>
        <w:br/>
        <w:t>Вместе с тем указание слов «или эквивалента при указании артикула товара</w:t>
        <w:br/>
        <w:t>ФБУН ГНЦ ПМБ не предусматривает наличие другого эквивалентного товара. В</w:t>
        <w:br/>
        <w:t>частности, позиции 2,6, 7, 8, 11 описания объекта закупки содержат части</w:t>
        <w:br/>
        <w:t>наименований медицинских изделий с аббревиатурой ГРМ, которые отсутствуют в</w:t>
        <w:br/>
        <w:t>наименованиях медицинских изделий других производителей.</w:t>
        <w:br/>
        <w:t>По мнению Заявителя, отраженного в составе жалобы, процедура</w:t>
        <w:br/>
        <w:t>исследования и методики исследования, утвержденные Заказчиком, должны</w:t>
        <w:br/>
        <w:t>соответствовать ГОСТам на выполнение микробиологических исследований,</w:t>
        <w:br/>
        <w:t>анализ которых не позволяет установить обязанность применения питательных</w:t>
        <w:br/>
        <w:t>сред конкретного производителя (в данном случае — ФБУН ГНЦ ПМБ) при</w:t>
        <w:br/>
        <w:t>проведении исследований пищевых продуктов. Между тем применение сухих</w:t>
        <w:br/>
        <w:t>питательных сред не требует использования уникального оборудования, с которым</w:t>
        <w:br/>
        <w:t>может быть совместима только питательная среда определенного производителя.</w:t>
        <w:br/>
        <w:t>Обоснование указания в описании объекта закупки характеристик сухих</w:t>
        <w:br/>
        <w:t>питательных сред производства ФБУН ГНЦ ПМБ требованием обеспечения</w:t>
        <w:br/>
        <w:t>совместимости с имеющимися у Заказчика методиками должно быть подтверждено</w:t>
        <w:br/>
        <w:t>соответствием данных методик нормативным документам, что Заказчиком сделано</w:t>
        <w:br/>
        <w:t>не было.</w:t>
        <w:br/>
        <w:t>Комиссией Управления определено, что Заказчиком установлены в том числе</w:t>
        <w:br/>
        <w:t>следующие характеристики к закупаемым товарам, например, по п.2 «ГРМ-бульон»</w:t>
        <w:br/>
        <w:t>кода ОКПД2 20.59.52.199: « артикул производителя ФБУН «ГНЦ ПМБ»: О2-К (или</w:t>
        <w:br/>
        <w:t>эквивалент)», при этом в Техническом задании извещения в частности отражено</w:t>
        <w:br/>
        <w:t>следующее: «Указание артикула конкретного производителя товара ФБУН «ГНЦ</w:t>
        <w:br/>
        <w:t>ПМБ» обусловлено необходимостью взаимодействия закупаемого товара с</w:t>
        <w:br/>
        <w:t>2026-26066</w:t>
        <w:br/>
        <w:t>12</w:t>
        <w:br/>
        <w:t>утвержденной процедурой исследования. В целях обеспечения безопасности</w:t>
        <w:br/>
        <w:t>работы оборудования и операторов оборудования Заказчик не может</w:t>
        <w:br/>
        <w:t>рассматривать к поставке аналогичный товар ».</w:t>
        <w:br/>
        <w:t>Комиссия Управления считает необходимым обратить внимание, чт о ст.33</w:t>
      </w:r>
    </w:p>
    <w:p>
      <w:r>
        <w:t>Закона о контрактной систем содержит в себе закрытый перечень случаев, когда</w:t>
        <w:br/>
        <w:t>Заказчик вправе закупать товары конкретного производителя (пп. «б» - «г» п.1 ч.1</w:t>
        <w:br/>
        <w:t>ст.33 Закона о контрактной системе), во всех остальных случаях, совокупности</w:t>
        <w:br/>
        <w:t>всех требований извещения, в том числе и всем требованиям описания объекта</w:t>
        <w:br/>
        <w:t>закупки, должны соответствовать товары как минимум двух различных</w:t>
        <w:br/>
        <w:t>производителей.</w:t>
        <w:br/>
        <w:t>Вместе с тем обязанность по формированию описания объекта закупки в</w:t>
        <w:br/>
        <w:t>соответствии с положениями ст.33 Закона о контрактной системе возложена на</w:t>
        <w:br/>
        <w:t>Заказчика, следовательно, именно Заказчик при формировании извещения об</w:t>
        <w:br/>
        <w:t>осуществлении закупочной процедуры должен обладать документальным</w:t>
        <w:br/>
        <w:t>подтверждением соответствия описания объекта закупки требованиям действующего</w:t>
        <w:br/>
        <w:t>законодательства.</w:t>
        <w:br/>
        <w:t>Согласно пояснениям представителя Заказчика указание на конкретного</w:t>
        <w:br/>
        <w:t>производителя ФБУН ГНЦ ПМБ обусловлено необходимостью обеспечения</w:t>
        <w:br/>
        <w:t>совместимости и преемственности результатов научных исследований. Прерывание</w:t>
        <w:br/>
        <w:t>многолетних исследований для переаттестации методик под новые питательные</w:t>
        <w:br/>
        <w:t>среды иного производителя является недопустимым и приведет к недостоверности</w:t>
        <w:br/>
        <w:t>полученных результатов, что противоречит задачам научной деятельности центра.</w:t>
        <w:br/>
        <w:t>Таким образом, применение сухих питательных сред требует использования</w:t>
        <w:br/>
        <w:t>уникального оборудования в связи с необходимостью сохранения чистоты</w:t>
        <w:br/>
        <w:t>эксперимента, выраженное в стандартизации и унификации питательных сред.</w:t>
        <w:br/>
        <w:t>По мнению Комиссии Управления, справедливо указать, что если</w:t>
        <w:br/>
        <w:t>необходимость поставки оригинальных изделий обусловлена обоснованной</w:t>
        <w:br/>
        <w:t>потребностью Заказчика это не может являться нарушением Закона о контрактной</w:t>
        <w:br/>
        <w:t>системе, при этом Заказчик должен обладать документальным подтверждением</w:t>
        <w:br/>
        <w:t>соответствующей потребности.</w:t>
        <w:br/>
        <w:t>Вместе с тем, изучив представленные Заказчиком в материалы дела</w:t>
        <w:br/>
        <w:t>документы и сведения, Комиссией Управления не представляется возможным</w:t>
        <w:br/>
        <w:t>сделать вывод о наличии документального подтверждения необходимости</w:t>
        <w:br/>
        <w:t>обеспечения совместимости и преемственности результатов научных</w:t>
        <w:br/>
        <w:t>исследований, а также подтверждающих то обстоятельство, что использование</w:t>
        <w:br/>
        <w:t>иных не рекомендованных и не оригинальных питательных средств повлечет</w:t>
        <w:br/>
        <w:t>негативные последствия в работе учреждения Заказчика, к недостоверности</w:t>
        <w:br/>
        <w:t>полученных результатов.</w:t>
        <w:br/>
        <w:t>Резюмируя вышеизложенное, в отсутствие доказательств обратного, Комиссия</w:t>
        <w:br/>
        <w:t>Управления отмечает, что в ходе рассмотрения жалобы по существу представителем</w:t>
        <w:br/>
        <w:t>Заказчика не доказано обстоятельств, свидетельствующих о соответствии описания</w:t>
      </w:r>
    </w:p>
    <w:p>
      <w:r>
        <w:t>объекта закупки товарам как минимум двух различных производителей , а также</w:t>
        <w:br/>
        <w:t>наличие обстоятельств, соответствующих пп. «б» - «г» п.1 ч.1 ст.33 Закона о</w:t>
        <w:br/>
        <w:t>2026-26066</w:t>
        <w:br/>
        <w:t>13</w:t>
        <w:br/>
        <w:t>контрактной системе.</w:t>
        <w:br/>
        <w:t>Вследствие чего, в отсутствие доказательств обратного, Комиссия Управления</w:t>
        <w:br/>
        <w:t>приходит выводу о нарушении Заказчиком положений п.1 ч.1 ст.33 Закона о</w:t>
        <w:br/>
        <w:t>контрактной системе при формировании описания объекта закупки,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ч.6 ст.7.30.1 Кодекса Российской Федерации об административных</w:t>
        <w:br/>
        <w:t>правонарушениях.</w:t>
        <w:br/>
        <w:t>Между тем в ходе внеплановой проверки на действия Заказчика Комиссией</w:t>
        <w:br/>
        <w:t>Управления установлено нижеследующее.</w:t>
        <w:br/>
        <w:t>На основании ч.5 ст.42 Закона о контрактной системе любой участник закупки,</w:t>
        <w:br/>
        <w:t>зарегистрированный в единой информационной системе, вправе направить с</w:t>
        <w:br/>
        <w:t>использованием электронной площадки заказчику не более чем три запроса о даче</w:t>
        <w:br/>
        <w:t>разъяснений положений извещения об осуществлении закупки при проведении</w:t>
        <w:br/>
        <w:t>электронного конкурса и электронного аукциона не позднее чем за три дня до</w:t>
        <w:br/>
        <w:t>окончания срока подачи заявок на участие в закупке. Не позднее одного часа с</w:t>
        <w:br/>
        <w:t>момента поступления такого запроса оператор электронной площадки направляет его</w:t>
        <w:br/>
        <w:t>с использованием электронной площадки заказчику. Не позднее двух дней со дня,</w:t>
        <w:br/>
        <w:t>следующего за днем поступления заказчику запроса о даче разъяснения положений</w:t>
        <w:br/>
        <w:t>извещения об осуществлении закупки, заказчик формирует с использованием единой</w:t>
        <w:br/>
        <w:t>информационной системы, подписывает усиленной электронной подписью лица,</w:t>
        <w:br/>
        <w:t>имеющего право действовать от имени заказчика, и размещает в единой</w:t>
        <w:br/>
        <w:t>информационной системе разъяснение положений извещения об осуществлении</w:t>
        <w:br/>
        <w:t>закупки с указанием предмета запроса , но без указания участника закупки, от</w:t>
        <w:br/>
        <w:t>которого поступил такой запрос. Такие разъяснения не должны изменять суть</w:t>
        <w:br/>
        <w:t>извещения об осуществлении закупки.</w:t>
        <w:br/>
        <w:t>Комиссией Управления установлено, что 14.05.2026 Заказчиком в Единой</w:t>
        <w:br/>
        <w:t>информационной системе в сфере закупок размещены разъяснения положений</w:t>
        <w:br/>
        <w:t>извещения об осуществлении закупки от №РИ1 без указания предмета запроса, что</w:t>
        <w:br/>
        <w:t>не соответствует положениям ч.5 ст.42 Закона о контрактной системе.</w:t>
        <w:br/>
        <w:t>Ввиду чего Комиссия Управления приходит к выводу о нарушении Заказчиком</w:t>
      </w:r>
    </w:p>
    <w:p>
      <w:r>
        <w:t>положений ч.5 ст.42 Закона о контрактной системе, что свидетельствует о наличии в</w:t>
        <w:br/>
        <w:t>действиях Заказчика признаков состава административного правонарушения,</w:t>
        <w:br/>
        <w:t>ответственность за которое предусмотрена ч.5 ст.7.30.1 Кодекса Российской</w:t>
        <w:br/>
        <w:t>Федерации об 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 я Управления</w:t>
        <w:br/>
        <w:t>2026-26066</w:t>
        <w:br/>
        <w:t>14</w:t>
        <w:br/>
        <w:t>РЕШИЛА:</w:t>
        <w:br/>
        <w:t>1.Признать жалобу ООО «Лабораторные расходные материалы» на</w:t>
        <w:br/>
        <w:t>действия ФГБНУ «ФНЦ пищевых систем им. В.М. Горбатова» РАН</w:t>
        <w:br/>
        <w:t>обоснованной.</w:t>
        <w:br/>
        <w:t>2.Признать в действиях Заказчика нарушение ч.6 ст.23, п.1 ч.1 ст.33, п. 2</w:t>
        <w:br/>
        <w:t>ч. 29 ст. 34, п.5 ч.1, ч.5 ст.42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А.А. Кутейников</w:t>
        <w:br/>
        <w:t>Члены Комиссии:</w:t>
        <w:br/>
        <w:t>М.В. Сорбучева</w:t>
        <w:br/>
        <w:t>А.А. Леонова</w:t>
        <w:br/>
        <w:t>Исп.Сорбучева М.В.</w:t>
        <w:br/>
        <w:t>тел.8(495)784-75-05</w:t>
        <w:br/>
        <w:t>2026-26066</w:t>
      </w:r>
    </w:p>
    <w:p>
      <w:pPr>
        <w:pStyle w:val="Heading1"/>
      </w:pPr>
      <w:r>
        <w:t>Предписание</w:t>
      </w:r>
    </w:p>
    <w:p>
      <w:r>
        <w:t>АО «Сбербанк-АСТ»</w:t>
        <w:br/>
        <w:t>ko@sberbank-ast.ru</w:t>
        <w:br/>
        <w:t>ООО «Лабораторные расходные</w:t>
        <w:br/>
        <w:t>материалы»</w:t>
        <w:br/>
        <w:t>ooo.lts.tmb@mail.ru</w:t>
        <w:br/>
        <w:t>ФГБНУ «ФНЦ пищевых систем им.</w:t>
        <w:br/>
        <w:t>В.М. Горбатова» Р АН</w:t>
        <w:br/>
        <w:t>d.bogdanov@fncps.ru</w:t>
        <w:br/>
        <w:t>ПРЕДПИСАНИЕ</w:t>
        <w:br/>
        <w:t>по делу № 077/06/105-6511/2026 об устранении нарушений</w:t>
        <w:br/>
        <w:t>законодательства о контрактной системе</w:t>
        <w:br/>
        <w:t>21.05.2026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М.В. Сорбучевой,</w:t>
        <w:br/>
        <w:t>Ведущего специалиста-эксперта отдела обжалования государственных закупок</w:t>
        <w:br/>
        <w:t>А.А. Леоновой,</w:t>
        <w:br/>
        <w:t>на основании решения Комиссии от 21.05.2026 по делу № 077/06/106-</w:t>
        <w:br/>
        <w:t>9794/2025, по итогам рассмотрения жалобы ООО «Лабораторные расходные</w:t>
        <w:br/>
        <w:t>материалы» (далее — Заявитель) на действия ФГБНУ «ФНЦ пищевых систем им.</w:t>
        <w:br/>
        <w:t>В.М. Горбатова» Р АН (далее — Заказчик) при проведении электронного аукциона на</w:t>
        <w:br/>
        <w:t>право заключения государственного контракта на п оставку питательных сред для</w:t>
        <w:br/>
        <w:t>проведения микробиологических исследований (Закупка №0373100048126000012)</w:t>
        <w:br/>
        <w:t>(далее – аукцион)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по закупке.</w:t>
        <w:br/>
        <w:t>2. Оператору электронной площадки не позднее 1 рабочего дня со дня</w:t>
        <w:br/>
        <w:t>2026-26053</w:t>
        <w:br/>
        <w:t>2</w:t>
        <w:br/>
        <w:t>исполнения пункта 1 настоящего предписания по закупке: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</w:r>
    </w:p>
    <w:p>
      <w:r>
        <w:t>- привести извещение о проведении электронного аукциона в соответствие с</w:t>
        <w:br/>
        <w:t>требованиями Закона о контрактной системе и с учетом решения от 21.05.2026 по</w:t>
        <w:br/>
        <w:t>делу № 077/06/106-9794/2025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21.05.2026 по делу № 077/06/106-9794/2025.</w:t>
        <w:br/>
        <w:t>6. Заказчику, комиссии по осуществлению закупок в срок до 21.06.2026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2026-26053</w:t>
        <w:br/>
        <w:t>3</w:t>
      </w:r>
    </w:p>
    <w:p>
      <w:r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21.05.2026 по делу № 077/06/106-9794/2025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</w:t>
        <w:br/>
        <w:t>М.В. Сорбучева</w:t>
        <w:br/>
        <w:t>А.А. Леонова</w:t>
        <w:br/>
        <w:t>Исп.Сорбучева М.В.</w:t>
        <w:br/>
        <w:t>тел.8(495)784-75-05</w:t>
        <w:br/>
        <w:t>2026-26053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