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202600132489009603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Опубликовано в ЕИС 01.06.2026 · в тексте решения — 02.06.2026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0373100027526000014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науки институт органической химии им. Н.Д. Зелинского Российской академии наук</w:t>
      </w:r>
    </w:p>
    <w:p>
      <w:r>
        <w:rPr>
          <w:b/>
        </w:rPr>
        <w:t xml:space="preserve">Заявитель: </w:t>
      </w:r>
      <w:r>
        <w:t>ООО «Армтэкс»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https://zakupki.gov.ru/epz/complaint/card/complaint-information.html?complaintNumber=202600132489009603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ООО «Армтэкс» info@armtechs.ru</w:t>
      </w:r>
    </w:p>
    <w:p>
      <w:r>
        <w:t>ИОХ Р АН kne@ioc.ac.ru</w:t>
      </w:r>
    </w:p>
    <w:p>
      <w:r>
        <w:t>РЕШЕНИЕ по делу №077/06/105-7217/2026 о нарушении законодательства о контрактной системе 02.06.2026 г. Москва</w:t>
      </w:r>
    </w:p>
    <w:p>
      <w:r>
        <w:t>Комиссия по контролю в сфере закупок товаров, работ, услуг Управления</w:t>
      </w:r>
    </w:p>
    <w:p>
      <w:r>
        <w:t>Федеральной антимонопольной службы по г. Москве (далее – Комиссия</w:t>
      </w:r>
    </w:p>
    <w:p>
      <w:r>
        <w:t>Управления) в составе:</w:t>
      </w:r>
    </w:p>
    <w:p>
      <w:r>
        <w:t>Председательствующего: главного специалиста-эксперта отдела обжалования государственных закупок Е.Д. Мартьяновой,</w:t>
      </w:r>
    </w:p>
    <w:p>
      <w:r>
        <w:t>Членов Комиссии:</w:t>
      </w:r>
    </w:p>
    <w:p>
      <w:r>
        <w:t>Специалиста-эксперта отдела обжалования государственных закупок</w:t>
      </w:r>
    </w:p>
    <w:p>
      <w:r>
        <w:t>А.С. Хлебниковой,</w:t>
      </w:r>
    </w:p>
    <w:p>
      <w:r>
        <w:t>Специалиста-эксперта отдела обжалования государственных закупок</w:t>
      </w:r>
    </w:p>
    <w:p>
      <w:r>
        <w:t>А.С. Гелмутдиновой, рассмотрение жалобы проводилось дистанционно (посредством видео-конференц-связи), при участии представителей ИОХ РАН: Гордеева Е.Г. (дов. №14 от 07.05.2026), Кравченко Н.Е. (дов. №9 от 10.04.2026), в отсутствие представителей ООО «Армтэкс», о времени и порядке заседания</w:t>
      </w:r>
    </w:p>
    <w:p>
      <w:pPr>
        <w:pStyle w:val="Heading2"/>
      </w:pPr>
      <w:r>
        <w:t>описательная часть</w:t>
      </w:r>
    </w:p>
    <w:p>
      <w:r>
        <w:t>Комиссии Управления уведомленных надлежащим образом посредством размещения сведений в Единой информационной системе, рассмотрев жалобу ООО «Армтэкс» (далее — Заявитель) на действия ИОХ</w:t>
      </w:r>
    </w:p>
    <w:p>
      <w:r>
        <w:t>РАН (далее — Заказчик) при проведении электронного аукциона на право заключения государственного контракта на поставку серверов (Закупка</w:t>
      </w:r>
    </w:p>
    <w:p>
      <w:r>
        <w:t>№ 0373100027526000014) (далее — аукцион), в соответствии с Федеральным законом от 05.04.2013 №44-ФЗ «О контрактной системе в сфере закупок товаров, 2026-28292 2 работ, услуг для обеспечения государственных и муниципальных нужд» (далее -</w:t>
      </w:r>
    </w:p>
    <w:p>
      <w:r>
        <w:t>Закон о контрактной системе),</w:t>
      </w:r>
    </w:p>
    <w:p>
      <w:r>
        <w:t>УСТАНОВИЛА:</w:t>
      </w:r>
    </w:p>
    <w:p>
      <w:r>
        <w:t>В Московское УФАС России поступила жалоба Заявителя на действия</w:t>
      </w:r>
    </w:p>
    <w:p>
      <w:r>
        <w:t>Заказчика при проведении вышеуказанного аукциона.</w:t>
      </w:r>
    </w:p>
    <w:p>
      <w:r>
        <w:t>На заседании Комиссии Управления Заказчиком представлены документы и сведения, запрашиваемые Московским УФАС России.</w:t>
      </w:r>
    </w:p>
    <w:p>
      <w:r>
        <w:t>Заявитель обжалует действия Заказчика, выразившиеся в утверждении извещения в нарушение Закона о контрактной системе.</w:t>
      </w:r>
    </w:p>
    <w:p>
      <w:r>
        <w:t>В результате рассмотрения жалобы, рассмотрев представленные документы и сведения, Комиссия Управления установила следующее.</w:t>
      </w:r>
    </w:p>
    <w:p>
      <w:r>
        <w:t>В составе жалобы Заявитель указывает, что Заказчиком при описании объекта закупки указан код ОКПД2 26.20.14.120, вместе с тем, по мнению Заявителя, при описании объекта закупки необходимо применить позиции каталога товаров, работ, услуг для обеспечения государственных и муниципальных нужд (далее —</w:t>
      </w:r>
    </w:p>
    <w:p>
      <w:r>
        <w:t>КТРУ), соответствующие закупаемым Заказчиком изделиям, а именно позицию</w:t>
      </w:r>
    </w:p>
    <w:p>
      <w:r>
        <w:t>КТРУ 26.20.14.000-00000189.</w:t>
      </w:r>
    </w:p>
    <w:p>
      <w:r>
        <w:t>Согласно п.1 ч.2 ст.42 Закона о контрактной системе извещение об осуществлении закупки, если иное не предусмотрено Законом о контрактной системе, должно содержать описание объекта закупки в соответствии со ст.33</w:t>
      </w:r>
    </w:p>
    <w:p>
      <w:r>
        <w:t>Закона о контрактной системе.</w:t>
      </w:r>
    </w:p>
    <w:p>
      <w:r>
        <w:t>В соответствии с п.1 ч.1 ст.33 Закона о контрактной системе заказчиком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2026-28292 3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Федерации.</w:t>
      </w:r>
    </w:p>
    <w:p>
      <w:r>
        <w:t>Таким образом, ст.33 Закона о контрактной систем содержит в себе закрытый перечень случаев, когда Заказчик вправе закупать товары конкретного производителя (пп. «б» - «г» п.1 ч.1 ст.33 Закона о контрактной системе), во всех остальных случаях, совокупности всех требований извещения, в том числе и всем требованиям описания объекта закупки, должны соответствовать товары как минимум двух различных производителей.</w:t>
      </w:r>
    </w:p>
    <w:p>
      <w:r>
        <w:t>Вместе с тем обязанность по формированию описания объекта закупки в соответствии с положениями ст.33 Закона о контрактной системе возложена на</w:t>
      </w:r>
    </w:p>
    <w:p>
      <w:r>
        <w:t>Заказчика, следовательно, именно Заказчик при формировании извещения об осуществлении закупочной процедуры должен обладать документальным подтверждением соответствия описания объекта закупки требованиям действующего законодательства.</w:t>
      </w:r>
    </w:p>
    <w:p>
      <w:r>
        <w:t>Согласно ч.2 ст.33 Закона о контрактной системе описание объекта закупки в соответствии с требованиями, указанными в ч.1 ст.33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Согласно п.5 ч.1 ст.42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содержащее, в том числе наименование объекта закупки, информацию (при наличии), предусмотренную правилами использования каталога товаров, работ, услуг для обеспечения государственных и муниципальных нужд, установленными в соответствии с ч.6 ст.23 Закона о контрактной системе,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На основании п.14 ч.3 ст.4 Закона о контрактной системе единая информационная система содержит каталог товаров, работ, услуг для обеспечения государственных и муниципальных нужд.</w:t>
      </w:r>
    </w:p>
    <w:p>
      <w:r>
        <w:t>Согласно ч.5 ст.23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Согласно ч.6 ст.23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2026-28292 4</w:t>
      </w:r>
    </w:p>
    <w:p>
      <w:r>
        <w:t>Федерации.</w:t>
      </w:r>
    </w:p>
    <w:p>
      <w:r>
        <w:t>Положениями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</w:t>
      </w:r>
    </w:p>
    <w:p>
      <w:r>
        <w:t>каталога товаров, работ, услуг для обеспечения государственных и муниципальных нужд» утверждены правила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(далее — Правила формирования КТРУ) и правила использования каталога товаров, работ, услуг для обеспечения государственных и муниципальных нужд (далее — Правила использования КТРУ).</w:t>
      </w:r>
    </w:p>
    <w:p>
      <w:r>
        <w:t>Согласно пп. «б» п.2 Правил использования КТРУ каталог используется заказчиками в целях описания объектов закупки, которое включается в планграфик закупок, извещение об осуществлении закупки, приглашение и документацию о закупке.</w:t>
      </w:r>
    </w:p>
    <w:p>
      <w:r>
        <w:t>На основании п.4 Правил использования КТРУ Заказчики обязаны применять информацию, включенную в позицию каталога в соответствии с подпунктами «а» - «г» и «е» - «з» п.10 Правил формирования КТРУ .</w:t>
      </w:r>
    </w:p>
    <w:p>
      <w:r>
        <w:t>В силу п.5 Правил использования КТРУ Заказчик вправе указать в плане закупок, плане-графике закупок, формах обоснования закупок, извещении об осуществлении закупки, приглашении и документации о закупке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Закона о контрактной системе, которые не предусмотрены в позиции каталога.</w:t>
      </w:r>
    </w:p>
    <w:p>
      <w:r>
        <w:t>П.6 Правил использования КТРУ установлено, что в случае предоставления дополнительной информации, предусмотренной п.5 Правил использования КТРУ 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Согласно п.7 Правил использования КТРУ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ст.33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п.1 ч.1 ст.33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</w:t>
      </w:r>
    </w:p>
    <w:p>
      <w:r>
        <w:t>поставщика (подрядчика, исполнителя) в соответствии с ч.1 ст.42, п.1 ч.1 ст.75</w:t>
      </w:r>
    </w:p>
    <w:p>
      <w:r>
        <w:t>Закона о контрактной системе соответственно.</w:t>
      </w:r>
    </w:p>
    <w:p>
      <w:r>
        <w:t>Комиссией Управления установлено, что в соответствии с извещением о 2026-28292 5 проведении электронного аукциона от 21.05.2026 № 0373100027526000014,</w:t>
      </w:r>
    </w:p>
    <w:p>
      <w:r>
        <w:t>Заказчиком закупается товары «Сервер 1», «Сервер 2» при этом указано на соответствие товара коду ОКПД2 26.20.14.120 «Серверы (однопроцессорные, двухпроцессорные)».</w:t>
      </w:r>
    </w:p>
    <w:p>
      <w:r>
        <w:t>В силу пп.«г» п.10 Правил формирования КТРУ в позицию каталога включается информация, содержащая описание товара, работы, услуги, если такое описание сформировано в соответствии с п.13 Правил формирования КТРУ .</w:t>
      </w:r>
    </w:p>
    <w:p>
      <w:r>
        <w:t>Согласно пп.«а» п.13 Правил формирования КТРУ в описание товара, работы, услуги в соответствии с требованиями ст.33 Закона о контрактной системе включается в том числе потребительские свойства и иные характеристики товара, работы, услуги, в том числе функциональные, технические, качественные характеристики, эксплуатационные характеристики (при необходимости), сформированные с учетом следующих сведений:</w:t>
      </w:r>
    </w:p>
    <w:p>
      <w:r>
        <w:t>-в случае если указанные характеристики имеют количественную оценку, то используются единицы измерения в соответствии с ОКЕИ. При отсутствии в ОКЕИ единицы измерения, в отношении которой уполномоченным органом принято решение о включении в описание товара, работы, услуги, уполномоченный орган направляет в федеральный орган исполнительной власти, обеспечивающий разработку, ведение и применение ОКЕИ, обращение о включении такой единицы измерения в ОКЕИ. При этом до включения соответствующей единицы измерения в ОКЕИ такая единица измерения включается в описание товара, работы, услуги и считается временным значением;</w:t>
      </w:r>
    </w:p>
    <w:p>
      <w:r>
        <w:t>-в отношении каждой характеристики, имеющей количественную оценку, указывается ее конкретное значение, или исчерпывающий перечень конкретных значений, или диапазоны допустимых значений (минимально либо максимально допустимые значения), или неизменяемые значения, в том числе с учетом требований к товару, работе, услуге, установленных в соответствии со ст.19 Закона о контрактной системе.</w:t>
      </w:r>
    </w:p>
    <w:p>
      <w:r>
        <w:t>-в отношении каждой характеристики, не имеющей количественной оценки, указывается исчерпывающий перечень соответствующих свойств товара, работы, услуги, в том числе с учетом требований к объектам закупки,</w:t>
      </w:r>
    </w:p>
    <w:p>
      <w:r>
        <w:t>установленных в соответствии со ст.19 Закона о контрактной системе.</w:t>
      </w:r>
    </w:p>
    <w:p>
      <w:r>
        <w:t>Согласно ч.1 ст.106 Закона о контрактной системе лица, права и законные интересы которых непосредственно затрагиваются в результате рассмотрения жалобы, вправе направить в контрольный орган в сфере закупок возражения на жалобу, участвовать в ее рассмотрении лично или через своих представителей.</w:t>
      </w:r>
    </w:p>
    <w:p>
      <w:r>
        <w:t>На заседании Комиссии Управления представитель Заказчика пояснил, что конфигурация серверов, описанная в техническом задании, содержит значения характеристик, выходящих за рамки диапазонов КТРУ , а также параметры, строго необходимые для работы программного обеспечения, используемого заказчиком в научной деятельности.</w:t>
      </w:r>
    </w:p>
    <w:p>
      <w:r>
        <w:t>Использование параметров оборудования, присутствующих в КТРУ , 2026-28292 6 позволило бы потенциальному участнику предложить товар с характеристиками значительно более низкими, чем требуемые Заказчику для решения поставленных задач, учитывая и новые перспективные научные направления, которые в настоящий момент прошли экспертизу РАН. Кроме этого, закупка Серверов с характеристиками, ограниченными значениями КТРУ , привело бы к невозможности оптимального использования такого оборудования и дальнейшей модернизации.</w:t>
      </w:r>
    </w:p>
    <w:p>
      <w:r>
        <w:t>Комиссией Управления установлено, что в каталоге товаров, работ, услуг указана позиция 26.20.14.000-00000189 «Сервер», с датой начала обязательного применения 30.04.2026, соответствующая закупаемому товару.</w:t>
      </w:r>
    </w:p>
    <w:p>
      <w:r>
        <w:t>Так, согласно п.4 Правил использования КТРУ , Заказчики обязаны использовать сведения, указанные в позиции КТРУ при формировании описания объекта закупки, при условии, что в КТРУ имеется позиция, соответствующая закупаемому изделию, как в случае для закупаемого Заказчиком товара сервер имеется позиция КТРУ 26.20.14.000-00000189 «Сервер».</w:t>
      </w:r>
    </w:p>
    <w:p>
      <w:pPr>
        <w:pStyle w:val="Heading2"/>
      </w:pPr>
      <w:r>
        <w:t>мотивировочная часть</w:t>
      </w:r>
    </w:p>
    <w:p>
      <w:r>
        <w:t>На основании вышеизложенного, Комиссия Управления приходит к выводу, что описание объекта закупки составлено Заказчиком в нарушение ч.6 ст.23, п.5 ч.1 ст.42 Закона о контрактной системе, что также свидетельствует о наличии в действиях Заказчика признаков состава административного правонарушения, ответственность за которое предусмотрена ч. 5 ст. 7.30.1 Кодекса Российской</w:t>
      </w:r>
    </w:p>
    <w:p>
      <w:r>
        <w:t>Федерации об административных правонарушениях.</w:t>
      </w:r>
    </w:p>
    <w:p>
      <w:r>
        <w:t>Исследовав представленные материалы, руководствуясь Законом о контрактной системе, Комиссия Управления 2026-28292 7</w:t>
      </w:r>
    </w:p>
    <w:p>
      <w:pPr>
        <w:pStyle w:val="Heading2"/>
      </w:pPr>
      <w:r>
        <w:t>резолютивная часть</w:t>
      </w:r>
    </w:p>
    <w:p>
      <w:r>
        <w:t>Р Е Ш И Л А:</w:t>
      </w:r>
    </w:p>
    <w:p>
      <w:r>
        <w:t>1.Признать жалобу ООО «Армтэкс» на действия ИОХ Р АН обоснованной.</w:t>
      </w:r>
    </w:p>
    <w:p>
      <w:r>
        <w:t>2.Признать в действиях Заказчика нарушения ч.6 ст.23, п.5 ч.1 ст.42</w:t>
      </w:r>
    </w:p>
    <w:p>
      <w:r>
        <w:t>Закона о контрактной системе.</w:t>
      </w:r>
    </w:p>
    <w:p>
      <w:r>
        <w:t>3.Обязательное для исполнения предписание об устранении нарушений законодательства об осуществлении закупок Заказчику не выдавать, поскольку предписание выдано ранее в рамках рассмотрения жалобы ООО «БИЗНЕС</w:t>
      </w:r>
    </w:p>
    <w:p>
      <w:r>
        <w:t>ПОСТАВКА» по делу № 077/06/105-7102/2026 от 01.06.2026.</w:t>
      </w:r>
    </w:p>
    <w:p>
      <w:r>
        <w:t>4.Передать материалы дела соответствующему должностному лицу</w:t>
      </w:r>
    </w:p>
    <w:p>
      <w:r>
        <w:t>Московского УФАС России для рассмотрения вопроса о возбуждении дела об административном правонарушении.</w:t>
      </w:r>
    </w:p>
    <w:p>
      <w:r>
        <w:t>Решение может быть обжаловано в судебном порядке в Арбитражном суде г. Москвы в течение 3 (трех) месяцев с даты его принятия в порядке, установленном гл. 24 АПК РФ.</w:t>
      </w:r>
    </w:p>
    <w:p>
      <w:r>
        <w:t>Председатель комиссии Е.Д. Мартьянова</w:t>
      </w:r>
    </w:p>
    <w:p>
      <w:r>
        <w:t>Члены комиссии:</w:t>
      </w:r>
    </w:p>
    <w:p>
      <w:r>
        <w:t>А.С. Хлебникова</w:t>
      </w:r>
    </w:p>
    <w:p>
      <w:r>
        <w:t>А.С. Гелмутдинова</w:t>
      </w:r>
    </w:p>
    <w:p>
      <w:r>
        <w:t>Исп.Хлебникова А.С.</w:t>
      </w:r>
    </w:p>
    <w:p>
      <w:r>
        <w:t>тел.(495) 784-75-05 2026-28292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