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202600132489017658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25.09.2026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0873200001726000283</w:t>
      </w:r>
    </w:p>
    <w:p>
      <w:r>
        <w:rPr>
          <w:b/>
        </w:rPr>
        <w:t xml:space="preserve">Заказчик: </w:t>
      </w:r>
      <w:r>
        <w:t>ГБУЗ города Москвы «Московский многопрофильный центр паллиативной помощи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управляющая компания «Эйкосъ»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https://zakupki.gov.ru/epz/complaint/card/complaint-information.html?complaintNumber=202600132489017658</w:t>
      </w:r>
    </w:p>
    <w:p/>
    <w:p>
      <w:pPr>
        <w:pStyle w:val="Heading1"/>
      </w:pPr>
      <w:r>
        <w:t>Решение</w:t>
      </w:r>
    </w:p>
    <w:p>
      <w:r>
        <w:t>ГБУЗ «Центр паллиативной помощи</w:t>
        <w:br/>
        <w:t>ДЗМ»</w:t>
        <w:br/>
        <w:t>ChernenkoEG@zdrav.mos.ru</w:t>
        <w:br/>
        <w:t>ООО УК «Эйкосъ»</w:t>
        <w:br/>
        <w:t>ukeikos@ukeikos.ru</w:t>
        <w:br/>
        <w:t>АО «ЕЭТП»</w:t>
        <w:br/>
        <w:t>ko@roseltorg.ru</w:t>
        <w:br/>
        <w:t>РЕШЕНИЕ</w:t>
        <w:br/>
        <w:t>по делу №077/06/105-13923/2026 о нарушении</w:t>
        <w:br/>
        <w:t>законодательства о контрактной системе</w:t>
        <w:br/>
        <w:t>28.09.2026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специалиста-эксперта отдела обжалования государственных</w:t>
        <w:br/>
        <w:t>закупок М.О. Мацневой,</w:t>
        <w:br/>
        <w:t>Главного государственного инспектора отдела обжалования</w:t>
        <w:br/>
        <w:t>государственных закупок А.А. Матюшенко,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представителей: ООО УК «Эйкосъ»: Фадина А.В. (дов.№9 от</w:t>
        <w:br/>
        <w:t>03.09.2026), ГБУЗ «Центр паллиативной помощи ДЗМ»: Черненко Е.Г. (дов.№184 от</w:t>
        <w:br/>
        <w:t>17.08.2026),</w:t>
        <w:br/>
        <w:t>рассмотрев жалобу ООО УК «Эйкосъ» (далее – Заявитель) на действия ГБУЗ</w:t>
        <w:br/>
        <w:t>«Центр паллиативной помощи ДЗМ» (далее - Заказчик) при проведении электронного</w:t>
        <w:br/>
        <w:t>аукциона на право заключения государственного контракта на поставку</w:t>
        <w:br/>
        <w:t>специализированного питания для нужд ГБУЗ «Центр паллиативной помощи ДЗМ» в</w:t>
        <w:br/>
        <w:t>2026 году (Закупка №0873200001726000283 ) (далее –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2026-52894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1.В составе жалобы Заявитель указывает, что Заказчиком при описании</w:t>
        <w:br/>
        <w:t>объекта закупки Заказчиком установлены дополнительные требования к</w:t>
        <w:br/>
        <w:t>характеристикам закупаемого товара, не предусмотренные используемой Заказчиком</w:t>
        <w:br/>
        <w:t>позицией каталог товаров, работ, услуг для обеспечения государственных и</w:t>
        <w:br/>
        <w:t>муниципальных нужд (далее — КТРУ) без надлежащего обоснования установления</w:t>
        <w:br/>
        <w:t>таких требований.</w:t>
        <w:br/>
        <w:t>Так, например, Заявитель указывает, что в извещении об осуществлении</w:t>
        <w:br/>
        <w:t>закупки отсутствует обоснование требования к характеристике «Возрастная</w:t>
        <w:br/>
        <w:t>категория», а также требования к характеристике «объем» по части товарных</w:t>
        <w:br/>
        <w:t>позиций.</w:t>
        <w:br/>
        <w:t>Кроме того, в Заявитель указывает, что в размещенном Заказчиком</w:t>
        <w:br/>
        <w:t>обосновании указано на значения характеристик, которые не соотносятся с</w:t>
        <w:br/>
        <w:t>значениями характеристик, указанными в описании объекта закупки, например, по</w:t>
      </w:r>
    </w:p>
    <w:p>
      <w:r>
        <w:t>позиции 11 Заказчик обосновывает потребность в калорийности до 200 гр. на 100</w:t>
        <w:br/>
        <w:t>мл. при этом в описании объекта закупки установлены требования «Объем: ≥ 200 ≤</w:t>
        <w:br/>
        <w:t>250».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 Допускается использование в описании объекта закупки указания на</w:t>
        <w:br/>
        <w:t>товарный знак в следующих случаях:</w:t>
        <w:br/>
        <w:t>а)сопровождение такого указания словами «или эквивалент»;</w:t>
        <w:br/>
        <w:t>б)несовместимость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2026-52894</w:t>
        <w:br/>
        <w:t>3</w:t>
        <w:br/>
        <w:t>г)осуществление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</w:t>
        <w:br/>
        <w:t>медицинской документации пациента и журнале врачебной комиссии. Перечень</w:t>
        <w:br/>
        <w:t>указанных медицинских изделий, специализированных продуктов лечебного</w:t>
        <w:br/>
        <w:t>питания и порядок его формирования утверждаются Правительством Российской</w:t>
        <w:br/>
        <w:t>Федерации.</w:t>
        <w:br/>
        <w:t>Согласно ч.2 ст.33 Закона о контрактной системе описание объекта закупки</w:t>
        <w:br/>
        <w:t>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</w:r>
    </w:p>
    <w:p>
      <w:r>
        <w:t>этом указываются максимальные и (или) минимальные значения таких</w:t>
        <w:br/>
        <w:t>показателей и (или) значения показателей, которые не могут изменяться.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В соответствии с пп.«а» п.2 Правил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2026-52894</w:t>
        <w:br/>
        <w:t>4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</w:r>
    </w:p>
    <w:p>
      <w:r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а)наименование товара, работы, услуги;</w:t>
        <w:br/>
        <w:t>б)единицы измерения количества товара, объема выполняемой работы,</w:t>
        <w:br/>
        <w:t>оказываемой услуги (при наличии);</w:t>
        <w:br/>
        <w:t>в)описание товара, работы, услуги (при наличии такого описания в</w:t>
        <w:br/>
        <w:t>позиции).</w:t>
        <w:br/>
        <w:t>П.5 Правил использования КТРУ в том числе определено, что Заказчик</w:t>
        <w:br/>
        <w:t>вправе указать в извещении об осуществлении закупки, приглашении и</w:t>
        <w:br/>
        <w:t>документации о закупке (в случае если Законом о контрактной системе</w:t>
        <w:br/>
        <w:t>предусмотрена документация о закупке) дополнительную информацию, а также</w:t>
        <w:br/>
        <w:t>дополнительные потребительские свойства, в том числе функциональные,</w:t>
        <w:br/>
        <w:t>технические, качественные, эксплуатационные характеристики товара, работы,</w:t>
        <w:br/>
        <w:t>услуги в соответствии с положениями ст.33 Закона о контрактной системе,</w:t>
        <w:br/>
        <w:t>которые не предусмотрены в позиции каталога, за исключением случаев:</w:t>
        <w:br/>
        <w:t>а)если при осуществлении закупки товара (в том числе поставляемого</w:t>
        <w:br/>
        <w:t>при выполнении закупаемых работ, оказании закупаемых услуг), указанного в</w:t>
        <w:br/>
        <w:t>позициях 25, 26 и 32 приложения №1 к постановлению Правительства</w:t>
        <w:br/>
        <w:t>Российской Федерации от 23 декабря 2024 г.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Постановление№1875),</w:t>
        <w:br/>
        <w:t>позициях 191 - 361 приложения №2 к Постановлению №1875, применяются</w:t>
        <w:br/>
        <w:t>предусмотренные п.1 Постановления №1875 запрет, ограничение соответственно;</w:t>
        <w:br/>
        <w:t>б)если иное не предусмотрено особенностями описания отдельных</w:t>
        <w:br/>
        <w:t>видов объектов закупок, устанавливаемыми Правительством Российской</w:t>
        <w:br/>
        <w:t>Федерации в соответствии с ч.5 ст.33 Закона о контрактной системе.</w:t>
        <w:br/>
        <w:t>П.6 Правил использования КТРУ установлено, что в случае предоставления</w:t>
        <w:br/>
        <w:t>дополнительной информации, предусмотренной п.5 Правил использования КТРУ 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В силу пп.«г» п.10 Правил формирования КТРУ в позицию каталога</w:t>
        <w:br/>
        <w:t>включается информация, содержащая описание товара, работы, услуги, если</w:t>
        <w:br/>
        <w:t>такое описание сформировано в соответствии с п.13 Правил формирования КТРУ .</w:t>
      </w:r>
    </w:p>
    <w:p>
      <w:r>
        <w:t>Согласно пп.«а» п.13 Правил формирования КТРУ в описание товара,</w:t>
        <w:br/>
        <w:t>работы, услуги в соответствии с требованиями ст.33 Закона о контрактной</w:t>
        <w:br/>
        <w:t>системе включается в том числе потребительские свойства и иные</w:t>
        <w:br/>
        <w:t>характеристики товара, работы, услуги, в том числе функциональные,</w:t>
        <w:br/>
        <w:t>технические, качественные характеристики, эксплуатационные характеристики</w:t>
        <w:br/>
        <w:t>2026-52894</w:t>
        <w:br/>
        <w:t>5</w:t>
        <w:br/>
        <w:t>(при необходимости), сформированные с учетом следующих сведений:</w:t>
        <w:br/>
        <w:t>-в случае если указанные характеристики имеют количественную</w:t>
        <w:br/>
        <w:t>оценку, то используются единицы измерения в соответствии с ОКЕИ. При</w:t>
        <w:br/>
        <w:t>отсутствии в ОКЕИ единицы измерения, в отношении которой уполномоченным</w:t>
        <w:br/>
        <w:t>органом принято решение о включении в описание товара, работы, услуги,</w:t>
        <w:br/>
        <w:t>уполномоченный орган направляет в федеральный орган исполнительной власти,</w:t>
        <w:br/>
        <w:t>обеспечивающий разработку, ведение и применение ОКЕИ, обращение о</w:t>
        <w:br/>
        <w:t>включении такой единицы измерения в ОКЕИ. При этом до включения</w:t>
        <w:br/>
        <w:t>соответствующей единицы измерения в ОКЕИ такая единица измерения</w:t>
        <w:br/>
        <w:t>включается в описание товара, работы, услуги и считается временным значением;</w:t>
        <w:br/>
        <w:t>-в отношении каждой характеристики, имеющей количественную</w:t>
        <w:br/>
        <w:t>оценку, указывается ее конкретное значение, или исчерпывающий перечень</w:t>
        <w:br/>
        <w:t>конкретных значений, или диапазоны допустимых значений (минимально либо</w:t>
        <w:br/>
        <w:t>максимально допустимые значения), или неизменяемые значения, в том числе с</w:t>
        <w:br/>
        <w:t>учетом требований к товару, работе, услуге, установленных в соответствии со</w:t>
        <w:br/>
        <w:t>ст.19 Закона о контрактной системе.</w:t>
        <w:br/>
        <w:t>-в отношении каждой характеристики, не имеющей количественной</w:t>
        <w:br/>
        <w:t>оценки, указывается исчерпывающий перечень соответствующих свойств товара,</w:t>
        <w:br/>
        <w:t>работы, услуги, в том числе с учетом требований к объектам закупки,</w:t>
        <w:br/>
        <w:t>установленных в соответствии со ст.19 Закона о контрактной системе.</w:t>
        <w:br/>
        <w:t>Исходя из вышеизложенного Комиссия Управления приходит к выводу, что</w:t>
        <w:br/>
        <w:t>обоснование дополнительных требований к товару, предусмотренное п.6 Правил</w:t>
        <w:br/>
        <w:t>использования КТРУ , подлежит указанию заказчиком в извещении в случае, если</w:t>
        <w:br/>
        <w:t>используемая заказчиком позиция КТРУ содержит описание товара,</w:t>
        <w:br/>
        <w:t>предусмотренное пп.«г» п.10 Правил формирования КТРУ .</w:t>
        <w:br/>
        <w:t>Комиссией Управления установлено, что используемая Заказчиком при</w:t>
        <w:br/>
        <w:t>описании закупаемого изделия позиция КТРУ содержат в своем составе описание</w:t>
        <w:br/>
        <w:t>изделия, предусмотренное пп.«г» п.10 Правил формирования КТРУ , при</w:t>
        <w:br/>
        <w:t>Заказчиком размещено обоснование использования при описании товара</w:t>
        <w:br/>
        <w:t>дополнительной информации.</w:t>
      </w:r>
    </w:p>
    <w:p>
      <w:r>
        <w:t>Комиссией Управления установлено, что, согласно извещению</w:t>
        <w:br/>
        <w:t>осуществлении закупки Заказчиком закупаются товары «Смесь энтеральная», при</w:t>
        <w:br/>
        <w:t>этом при описании объекта закупки Заказчиком также применены, позиции КТРУ ,</w:t>
        <w:br/>
        <w:t>например позиция КТРУ 10.86.10.191-00000001 «Смесь энтеральная», при этом</w:t>
        <w:br/>
        <w:t>Заказчиком установлены требования к товарам, например по товарной позиции</w:t>
        <w:br/>
        <w:t>«Смесь энтеральная» с идентификатором 222608683 установлены требования к</w:t>
        <w:br/>
        <w:t>характеристикам: «Возрастная категория: ≥ 3 Год», «Объем: ≥ 200 и ≤ 250</w:t>
        <w:br/>
        <w:t>Кубический сантиметр; миллилитр», «Энергетическая ценность в 100 мл</w:t>
        <w:br/>
        <w:t>продукта, готового к употреблению: ≥ 150 и ≤ 200 Килокалория», «Содержание</w:t>
        <w:br/>
        <w:t>белков в 100 мл продукта, готового к употреблению: ≥ 10 и ≤ 11».</w:t>
        <w:br/>
        <w:t>Комиссией Управления установлено, что используемые Заказчиком позиции</w:t>
        <w:br/>
        <w:t>КТРУ содержат описание, предусмотренное пп.«г» п.10 Правил формирования</w:t>
        <w:br/>
        <w:t>2026-52894</w:t>
        <w:br/>
        <w:t>6</w:t>
        <w:br/>
        <w:t>КТРУ .</w:t>
        <w:br/>
        <w:t>Вместе с этим при этом Заказчиком размещено следующее обоснование</w:t>
        <w:br/>
        <w:t>применения дополнительных требований к товару, например по товарной</w:t>
        <w:br/>
        <w:t>позиции «Смесь энтеральная» с идентификатором 22260868: « Готовое к</w:t>
        <w:br/>
        <w:t>применению энтеральное дополнительное питание для пациентов со</w:t>
        <w:br/>
        <w:t>стандартными и высокими потребностями в белке и энергии с сопутствующим</w:t>
        <w:br/>
        <w:t>сахарным диабетом или риском развития гипергликемии. У пациентов</w:t>
        <w:br/>
        <w:t>паллиативного профиля рекомендованы гиперкалорические высокобелковые</w:t>
        <w:br/>
        <w:t>продукты для ПЭП с высокой белково-энергетической плотностью - до 200 ккал</w:t>
        <w:br/>
        <w:t>и 10 г белка на 100 мл, поскольку они позволяют достичь нутритивных целей с</w:t>
        <w:br/>
        <w:t>помощью приемлемого объема питательной смеси. Высокое количество белка (не</w:t>
        <w:br/>
        <w:t>менее 10г/100мл) позволяет снизить водную нагрузку и выполнить нормы</w:t>
        <w:br/>
        <w:t>питания утвержденные приложением №5 приказа МЗРФ от 5 августа 2003 г. №</w:t>
        <w:br/>
        <w:t>330 Рекомендации «Нутритивная поддержка и регидратация взрослых,</w:t>
        <w:br/>
        <w:t>нуждающихся в паллиативной медицинской помощи», утвержденных МЗ РФ в</w:t>
        <w:br/>
        <w:t>2021 г [4] Содержание углеводов в 100 мл смеси не более 12 г позволяет снизить</w:t>
        <w:br/>
        <w:t>углеводную нагрузку и выполнить нормы питания, утвержденные приложением</w:t>
        <w:br/>
        <w:t>№5 приказа МЗРФ от 5 августа 2003 г. № 330. Обоснование необходимости</w:t>
        <w:br/>
        <w:t>использования дополнительной информации в соответствии с п. 6</w:t>
      </w:r>
    </w:p>
    <w:p>
      <w:r>
        <w:t>Постановления Правительства РФ от 08.02.2017 № 145: отсутствие в</w:t>
        <w:br/>
        <w:t>справочнике КТРУ технических характеристик товара, позволяющих</w:t>
        <w:br/>
        <w:t>определить его качественные и функциональные свойства. Требования к товару,</w:t>
        <w:br/>
        <w:t>сформулированы Заказчиком в соответствии с положениями статьи 33 Закона</w:t>
        <w:br/>
        <w:t>44-ФЗ, с учетом потребностей Заказчика, исходя из специфики деятельности</w:t>
        <w:br/>
        <w:t>Заказчика, а также с учетом других необходимых для Заказчика функций и</w:t>
        <w:br/>
        <w:t>характеристик товара. Остаточный срок годности на момент поставки не</w:t>
        <w:br/>
        <w:t>менее 6 месяцев ».</w:t>
        <w:br/>
        <w:t>Комиссия Управления отмечает, что, например, в размещенном Заказчиком</w:t>
        <w:br/>
        <w:t>обосновании не содержится обоснования дополнительно, не предусмотренной</w:t>
        <w:br/>
        <w:t>КТРУ , требования к характеристике «Возрастная категория», «Объем»,</w:t>
        <w:br/>
        <w:t>кроме того указанное обоснование «У пациентов паллиативного профиля</w:t>
        <w:br/>
        <w:t>рекомендованы гиперкалорические высокобелковые продукты для ПЭП с</w:t>
        <w:br/>
        <w:t>высокой белково-энергетической плотностью - до 200 ккал и 10 г белка на 100</w:t>
        <w:br/>
        <w:t>мл, поскольку они позволяют достичь нутритивных целей с помощью</w:t>
        <w:br/>
        <w:t>приемлемого объема питательной смеси» не соотносится с значениями</w:t>
        <w:br/>
        <w:t>характеристик «Энергетическая ценность в 100 мл продукта, готового к</w:t>
        <w:br/>
        <w:t>употреблению: ≥ 150 и ≤ 200 Килокалория», «Содержание белков в 100 мл</w:t>
        <w:br/>
        <w:t>продукта, готового к употреблению: ≥ 10 и ≤ 11».</w:t>
        <w:br/>
        <w:t>На основании вышеизложенного Комиссия Управления приходит к выводу,</w:t>
        <w:br/>
        <w:t>что Заказчиком при описании товаров применена дополнительная информация,</w:t>
        <w:br/>
        <w:t>не предусмотренная описанием товара, указанным в позициях КТРУ и</w:t>
        <w:br/>
        <w:t>сформированным в соответствии пп.«г» п.10 Правил формирования КТРУ , без</w:t>
        <w:br/>
        <w:t>2026-52894</w:t>
        <w:br/>
        <w:t>7</w:t>
        <w:br/>
        <w:t>размещения в составе извещения надлежащего обоснования установления таких</w:t>
        <w:br/>
        <w:t>требований.</w:t>
        <w:br/>
        <w:t>Таким образом, Комиссия Управления приходит к выводу о нарушении</w:t>
        <w:br/>
        <w:t>Заказчиком ч.6 ст.23 Закона о контрактной системе,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ч.5 ст.7.30.1 Кодекса</w:t>
        <w:br/>
        <w:t>Российской Федерации об административных правонарушениях.</w:t>
        <w:br/>
        <w:t>2.Также в составе жалобы Заявитель указывает, что Заказчиком</w:t>
        <w:br/>
        <w:t>установлены избыточные требования, при этом установленные Заказчиком</w:t>
        <w:br/>
        <w:t>требования к характеристикам необходимого к поставке товара ограничивают</w:t>
        <w:br/>
        <w:t>круг участников закупки, поскольку совокупности установленных требований</w:t>
        <w:br/>
        <w:t>соответствует товары конкретного производителя, например по.1 соответствуют</w:t>
      </w:r>
    </w:p>
    <w:p>
      <w:r>
        <w:t>исключительно товары производства компании «N.V. Nutricia».</w:t>
        <w:br/>
        <w:t>Также Заявитель указывает на неисполнение Заказчиком предписания по делу</w:t>
        <w:br/>
        <w:t>№077/06/105-12722/2026 от 07.09.2026.</w:t>
        <w:br/>
        <w:t>Комиссией Управления установлено, что 07.09.2026 Комиссией Управления</w:t>
        <w:br/>
        <w:t>рассмотрена жалоба ООО УК «Эйкосъ» (реестровый номер жалобы</w:t>
        <w:br/>
        <w:t>202600132489016210) на действия Заказчика , по результатам рассмотрения</w:t>
        <w:br/>
        <w:t>которой в действиях Заказчика установлено в том числе нарушение положений</w:t>
        <w:br/>
        <w:t>п.1 ч.1 ст.33 Закона о контрактной системе , что отражено в решении о нарушении</w:t>
        <w:br/>
        <w:t>законодательства о контрактной системе по делу № 077/06/105-12722/2026 от</w:t>
        <w:br/>
        <w:t>07.09.2026 (далее — Решение) , в частности в Решении в том числе указано:</w:t>
        <w:br/>
        <w:t>«Однако на заседании Комиссии Управления представителем Заказчика не</w:t>
        <w:br/>
        <w:t>представлено документов и сведений, подтверждающих соответствие</w:t>
        <w:br/>
        <w:t>совокупности требований извещения товаров нескольких производителей, ввиду</w:t>
        <w:br/>
        <w:t>чего Комиссии Управления, в отсутствие документов и сведений,</w:t>
        <w:br/>
        <w:t>подтверждающих соответствие совокупности требований извещения товаров</w:t>
        <w:br/>
        <w:t>нескольких производителей, не представляется возможным прийти к выводу, что</w:t>
        <w:br/>
        <w:t>совокупности требований извещения соответствуют товары нескольких</w:t>
        <w:br/>
        <w:t>производителей.</w:t>
        <w:br/>
        <w:t>Кроме того, в рамках рассмотрения данной жалобы представителем</w:t>
        <w:br/>
        <w:t>Заказчика также не представлено документов и сведений, подтверждающих, что</w:t>
        <w:br/>
        <w:t>в данном случае применимы условия отраженные в пп.«б» - «г» п.1 ч.1 ст.33</w:t>
        <w:br/>
        <w:t>Закона о контрактной системе.</w:t>
        <w:br/>
        <w:t>Также Комиссия Управления отмечает, что на заседании Комиссии</w:t>
        <w:br/>
        <w:t>Управления не представлены документы и сведений, указывающие на обязанность</w:t>
        <w:br/>
        <w:t>приобретения Заказчиком товаров конкретного производителя.</w:t>
        <w:br/>
        <w:t>Помимо этого, Комиссия Управления отмечает, что на заседании Комиссии</w:t>
        <w:br/>
        <w:t>Управления Заказчиком не представлено информации о товарах российского</w:t>
        <w:br/>
        <w:t>производства, соответствующего требованиям извещения, при этом</w:t>
        <w:br/>
        <w:t>декларирование в извещении об осуществлении закупки факта отсутствия на</w:t>
        <w:br/>
        <w:t>территории Российской Федерации производства такого товара с</w:t>
        <w:br/>
        <w:t>характеристиками, соответствующими потребности заказчика не</w:t>
        <w:br/>
        <w:t>осуществлялось.</w:t>
        <w:br/>
        <w:t>2026-52894</w:t>
        <w:br/>
        <w:t>8</w:t>
        <w:br/>
        <w:t>Таким образом, Комиссия Управления приходит к выводу о нарушении</w:t>
        <w:br/>
        <w:t>Заказчиком п.1 ч.1 ст.33, ч.1.1 ст.33, ч.1 ст.14 Закона о контрактной системе,</w:t>
        <w:br/>
        <w:t>что 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</w:t>
        <w:br/>
        <w:t>предусмотрена ч.6 ст.7.30.1 Кодекса Российской Федерации об административных</w:t>
        <w:br/>
        <w:t>правонарушениях».</w:t>
      </w:r>
    </w:p>
    <w:p>
      <w:r>
        <w:t>Согласно п.2 ч.22 ст.99 Закона о контрактной системе при выявлении в</w:t>
        <w:br/>
        <w:t>результате проведения контрольным органом в сфере закупок плановых и</w:t>
        <w:br/>
        <w:t>внеплановых проверок, а также в результате рассмотрения жалобы на действия</w:t>
        <w:br/>
        <w:t>(бездействие) субъектов контроля нарушений законодательства Российской</w:t>
        <w:br/>
        <w:t>Федерации и иных нормативных правовых актов о контрактной системе в сфере</w:t>
        <w:br/>
        <w:t>закупок контрольный орган в сфере закупок вправе выдавать обязательные для</w:t>
        <w:br/>
        <w:t>исполнения предписания об устранении таких нарушений в соответствии с</w:t>
        <w:br/>
        <w:t>законодательством Российской Федерации, в том числе об аннулировании</w:t>
        <w:br/>
        <w:t>определения поставщиков (подрядчиков, исполнителей) .</w:t>
        <w:br/>
        <w:t>На основании ч.23 ст.99 Закона о контрактной системе предписание об</w:t>
        <w:br/>
        <w:t>устранении нарушения законодательства Российской Федерации или иных</w:t>
        <w:br/>
        <w:t>нормативных правовых актов о контрактной системе в сфере закупок, выданное в</w:t>
        <w:br/>
        <w:t>соответствии с п.2 ч.22 ст.99 Закона о контрактной системе, должно содержать</w:t>
        <w:br/>
        <w:t>указание на конкретные действия, которые должно совершить лицо, получившее</w:t>
        <w:br/>
        <w:t>такое предписание, для устранения указанного нарушения. Контракт не может</w:t>
        <w:br/>
        <w:t>быть заключен до даты исполнения предписания, представления, предусмотренных</w:t>
        <w:br/>
        <w:t>ст.99 Закона о контрактной системе.</w:t>
        <w:br/>
        <w:t>Вместе с этим Заказчику было выдано обязательное для исполнения</w:t>
        <w:br/>
        <w:t>предписание № 077/06/105-12722/2026 от 07.09.2026 об устранении нарушений</w:t>
        <w:br/>
        <w:t>законодательства о контрактной системе (далее — Предписание).</w:t>
        <w:br/>
        <w:t>Согласно Предписанию Заказчику необходимо совершить в том следующие</w:t>
        <w:br/>
        <w:t>действия:</w:t>
        <w:br/>
        <w:t>«3. Заказчику:</w:t>
        <w:br/>
        <w:t>-привести извещение о проведении электронного аукциона в</w:t>
        <w:br/>
        <w:t>соответствие с требованиями Закона о контрактной системе и с учетом</w:t>
        <w:br/>
        <w:t>решения от 07.09.2026 по делу №077/06/105-12722/2026 и разместить</w:t>
        <w:br/>
        <w:t>соответствующее извещение в единой информационной системе;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</w:t>
        <w:br/>
        <w:t>определения поставщика (подрядчика, исполнителя), а также разместить</w:t>
        <w:br/>
        <w:t>указанные сведения в единой информационной системе в сфере закупок. При этом</w:t>
        <w:br/>
        <w:t>дата окончания срока подачи заявок на участие в Аукционе должна быть</w:t>
        <w:br/>
        <w:t>назначена в соответствии с ч.4 ст.42 Закона о контрактной системе ».</w:t>
        <w:br/>
        <w:t>Вместе с этим Комиссией Управления установлено, что 14.09.2026 Заказчиком</w:t>
        <w:br/>
        <w:t>внесены изменения в положения извещения.</w:t>
      </w:r>
    </w:p>
    <w:p>
      <w:r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2026-52894</w:t>
        <w:br/>
        <w:t>9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требования к характеристикам закупаемых смесей установлены в соответствии с</w:t>
        <w:br/>
        <w:t>потребностью учреждения, выбор конкретной энтеральной смеси определяется</w:t>
        <w:br/>
        <w:t>точным соответствием её состава клинической потребности пациента.</w:t>
        <w:br/>
        <w:t>При этом на заседании Комиссии Управления представитель Заказчика</w:t>
        <w:br/>
        <w:t>указал, что совокупности требований извещения соответствуют товары различных</w:t>
        <w:br/>
        <w:t>производителей, например по п.1 соответствуют товары «Фортикер, 125 мл,</w:t>
        <w:br/>
        <w:t>Нутриция», «Фезубин напиток 3,2 ккал 125 мл Фрезениус».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вышеуказанные товары не соответствуют требованиям извещения.</w:t>
        <w:br/>
        <w:t>На основании вышеизложенного Комиссией Управления объявлен перерыв в</w:t>
        <w:br/>
        <w:t>рассмотрении жалобы для возможности дачи сторонам возможности изыскать</w:t>
        <w:br/>
        <w:t>дополнительные документы и сведений подтверждающие позицию сторон.</w:t>
        <w:br/>
        <w:t>После возобновления заседания Комиссии Управления представитель</w:t>
        <w:br/>
        <w:t>Заявителя пояснил, что указанные представителем Заказчика товары не</w:t>
        <w:br/>
        <w:t>соответствуют требованиям извещения, например товар «Фезубин напиток 3,2 ккал</w:t>
        <w:br/>
        <w:t>125 мл Фрезениус» не соответствует требованиям извещения по п.1 по</w:t>
        <w:br/>
        <w:t>требованиям к характеристикам «Возрастная категория», «Требование к смеси</w:t>
        <w:br/>
        <w:t>энтеральной: Не содержит пищевых волокон».</w:t>
        <w:br/>
        <w:t>Вместе с этим на заседании Комиссии Управления представитель Заказчика</w:t>
        <w:br/>
        <w:t>согласился с тем, что части товарных позиций соответствуют товары конкретных</w:t>
        <w:br/>
        <w:t>производителей, однако отметил, что установление требований к характеристика</w:t>
        <w:br/>
        <w:t>товара обусловлено потребностью учреждения.</w:t>
        <w:br/>
        <w:t>Комиссия Управления отмечает, что ст.33 Закона о контрактной систем</w:t>
        <w:br/>
        <w:t>содержит в себе закрытый перечень случаев, когда Заказчик вправе закупать</w:t>
        <w:br/>
        <w:t>товары конкретного производителя (пп. «б» - «г» п.1 ч.1 ст.33 Закона о контрактной</w:t>
        <w:br/>
        <w:t>системе), во всех остальных случаях, совокупности всех требований извещения, в</w:t>
      </w:r>
    </w:p>
    <w:p>
      <w:r>
        <w:t>том числе и всем требованиям описания объекта закупки, должны соответствовать</w:t>
        <w:br/>
        <w:t>товары как минимум двух различных 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соответствия описания объекта закупки требованиям</w:t>
        <w:br/>
        <w:t>действующего законодательства.</w:t>
        <w:br/>
        <w:t>Однако на заседании Комиссии Управления представителем Заказчика не</w:t>
        <w:br/>
        <w:t>представлено документов и сведений, подтверждающих соответствие</w:t>
        <w:br/>
        <w:t>совокупности требований извещения по всем позициям товаров нескольких</w:t>
        <w:br/>
        <w:t>производителей, ввиду чего Комиссии Управления, в отсутствие документов и</w:t>
        <w:br/>
        <w:t>сведений, подтверждающих соответствие совокупности требований извещения</w:t>
        <w:br/>
        <w:t>2026-52894</w:t>
        <w:br/>
        <w:t>10</w:t>
        <w:br/>
        <w:t>товаров нескольких производителей, не представляется возможным прийти к</w:t>
        <w:br/>
        <w:t>выводу, что совокупности требований извещения соответствуют товары нескольких</w:t>
        <w:br/>
        <w:t>производителей.</w:t>
        <w:br/>
        <w:t>Кроме того, в рамках рассмотрения данной жалобы представителем Заказчика</w:t>
        <w:br/>
        <w:t>также не представлено документов и сведений, подтверждающих, что в данном</w:t>
        <w:br/>
        <w:t>случае применимы условия отраженные в пп.«б» - «г» п.1 ч.1 ст.33 Закона о</w:t>
        <w:br/>
        <w:t>контрактной системе.</w:t>
        <w:br/>
        <w:t>Также Комиссия Управления отмечает, что на заседании Комиссии</w:t>
        <w:br/>
        <w:t>Управления не представлены документы и сведений, указывающие на обязанность</w:t>
        <w:br/>
        <w:t>приобретения Заказчиком товаров конкретного производителя.</w:t>
        <w:br/>
        <w:t>Помимо этого Комиссия Управления отмечает, что если у Заказчика имеются</w:t>
        <w:br/>
        <w:t>определенные обоснованные потребности в получении тех или иных товаров, он</w:t>
        <w:br/>
        <w:t>вправе устанавливать соответствующие требования к товарам, но таким образом,</w:t>
        <w:br/>
        <w:t>чтобы такие требования не ограничивали количество участников закупки, и в</w:t>
        <w:br/>
        <w:t>составе одного лота не закупались наряду с товарами, производимыми</w:t>
        <w:br/>
        <w:t>неограниченным кругом производителей уникальные товары единственного</w:t>
        <w:br/>
        <w:t>производителя, отсутствующие в свободном доступе, в том числе для</w:t>
        <w:br/>
        <w:t>приобретения которых необходимо заключать определенные договоры и</w:t>
        <w:br/>
        <w:t>соглашения с производителем оборудования.</w:t>
        <w:br/>
        <w:t>Комиссия Управления также отмечает, что в случае, если при закупке товаров</w:t>
        <w:br/>
        <w:t>среди требуемых к поставке позиций присутствует хотя бы один товар, требования</w:t>
        <w:br/>
        <w:t>к характеристикам которого установлены таким образом, что совокупности таких</w:t>
        <w:br/>
        <w:t>требований отвечает только товар единственного производителя, то положения</w:t>
      </w:r>
    </w:p>
    <w:p>
      <w:r>
        <w:t>извещения о такой закупке имеют признаки ограничения количества участников</w:t>
        <w:br/>
        <w:t>закупки, так как закупить и поставить уникальный товар имеет возможность только</w:t>
        <w:br/>
        <w:t>ограниченный круг лиц, имеющий с производителем такого товара партнерские</w:t>
        <w:br/>
        <w:t>отношения и/или иные договоры о сотрудничестве.</w:t>
        <w:br/>
        <w:t>На основании вышеизложенного, в случае невозможности участников</w:t>
        <w:br/>
        <w:t>закупки закупить и поставить требуемые Заказчику уникальные позиции наряду с</w:t>
        <w:br/>
        <w:t>иными товарами, указанная закупка будет проведена только для тех лиц, имеющих</w:t>
        <w:br/>
        <w:t>договорные отношения с определенным производителем товара, что</w:t>
        <w:br/>
        <w:t>непосредственно является ограничением круга потенциальных участников закупки,</w:t>
        <w:br/>
        <w:t>что напрямую запрещается нормами ст.33 Закона о контрактной системе.</w:t>
        <w:br/>
        <w:t>Таким образом, Комиссия Управления приходит к выводу о нарушении</w:t>
        <w:br/>
        <w:t>Заказчиком п.1 ч.1 ст.33, п.2 ч.22 ст.99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ч.6 ст.7.30.1, ч.7 ст.19.5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2026-52894</w:t>
        <w:br/>
        <w:t>11</w:t>
        <w:br/>
        <w:t>РЕШИЛА:</w:t>
        <w:br/>
        <w:t>1.Признать жалобу ООО УК «Эйкосъ» на действия ГБУЗ «Центр</w:t>
        <w:br/>
        <w:t>паллиативной помощи ДЗМ» обоснованной.</w:t>
        <w:br/>
        <w:t>2.Признать в действиях Заказчика нарушения п.1 ч.1 ст.33, п.2 ч.22 ст.99</w:t>
        <w:br/>
        <w:t>ч.6 ст.23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2026-52894</w:t>
      </w:r>
    </w:p>
    <w:p>
      <w:pPr>
        <w:pStyle w:val="Heading1"/>
      </w:pPr>
      <w:r>
        <w:t>Предписание</w:t>
      </w:r>
    </w:p>
    <w:p>
      <w:r>
        <w:t>ГБУЗ «Центр паллиативной помощи</w:t>
        <w:br/>
        <w:t>ДЗМ»</w:t>
        <w:br/>
        <w:t>ChernenkoEG@zdrav.mos.ru</w:t>
        <w:br/>
        <w:t>ООО УК «Эйкосъ»</w:t>
        <w:br/>
        <w:t>ukeikos@ukeikos.ru</w:t>
        <w:br/>
        <w:t>АО «ЕЭТП»</w:t>
        <w:br/>
        <w:t>ko@roseltorg.ru</w:t>
        <w:br/>
        <w:t>ПРЕДПИСАНИЕ</w:t>
        <w:br/>
        <w:t>по делу №077/06/105-13923/2026 об устранении нарушений</w:t>
        <w:br/>
        <w:t>законодательства о контрактной системе</w:t>
        <w:br/>
        <w:t>28.09.2026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специалиста-эксперта отдела обжалования государственных</w:t>
        <w:br/>
        <w:t>закупок М.О. Мацневой,</w:t>
        <w:br/>
        <w:t>Главного государственного инспектора отдела обжалования</w:t>
        <w:br/>
        <w:t>государственных закупок А.А. Матюшенко,</w:t>
        <w:br/>
        <w:t>на основании решения Комиссии Управления от 28.09.2026 по делу</w:t>
        <w:br/>
        <w:t>№077/06/105-13923/2026 , по итогам рассмотрения жалобы ООО УК «Эйкосъ» (далее</w:t>
        <w:br/>
        <w:t>– Заявитель) на действия ГБУЗ «Центр паллиативной помощи ДЗМ» (далее -</w:t>
        <w:br/>
        <w:t>Заказчик) при проведении электронного аукциона на право заключения</w:t>
        <w:br/>
        <w:t>государственного контракта на поставку специализированного питания для нужд</w:t>
        <w:br/>
        <w:t>ГБУЗ «Центр паллиативной помощи ДЗМ» в 2026 году (Закупка</w:t>
        <w:br/>
        <w:t>№0873200001726000283 ) (далее — Аукцион) ,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2026-52938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</w:r>
    </w:p>
    <w:p>
      <w:r>
        <w:t>с требованиями Закона о контрактной системе и с учетом решения от 28.09.2026 по</w:t>
        <w:br/>
        <w:t>делу №077/06/105-13923/2026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28.09.2026 по делу №077/06/105-13923/2026.</w:t>
        <w:br/>
        <w:t>6. Заказчику, к омиссии по осуществлению закупок Заказчика в срок до</w:t>
        <w:br/>
        <w:t>28.10.2026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2026-52938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</w:r>
    </w:p>
    <w:p>
      <w:r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28.09.2026 по делу №077/06/105-13923/2026</w:t>
        <w:br/>
        <w:t>может быть обжаловано в суде (арбитражный суд) в соответствии с</w:t>
        <w:br/>
        <w:t>законодательством 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2026-52938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