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202600132489018729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12.10.2026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0373500004526000373</w:t>
      </w:r>
    </w:p>
    <w:p>
      <w:r>
        <w:rPr>
          <w:b/>
        </w:rPr>
        <w:t xml:space="preserve">Заказчик: </w:t>
      </w:r>
      <w:r>
        <w:t>ГБУЗ города Москвы «Московский медицинский клинический центр »Вороновское«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управляющая компания «Эйкосъ»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https://zakupki.gov.ru/epz/complaint/card/complaint-information.html?complaintNumber=202600132489018729</w:t>
      </w:r>
    </w:p>
    <w:p/>
    <w:p>
      <w:pPr>
        <w:pStyle w:val="Heading1"/>
      </w:pPr>
      <w:r>
        <w:t>Решение</w:t>
      </w:r>
    </w:p>
    <w:p>
      <w:r>
        <w:t>ГБУЗ ММКЦ «Вороновское» ДЗМ</w:t>
        <w:br/>
        <w:t>MMKCV@zdrav.mos.ru</w:t>
        <w:br/>
        <w:t>ООО УК «ЭЙКОСЪ»</w:t>
        <w:br/>
        <w:t>ukeikos@ukeikos.ru</w:t>
        <w:br/>
        <w:t>АО«ЕЭТП»</w:t>
        <w:br/>
        <w:t>ko@roseltorg.ru</w:t>
        <w:br/>
        <w:t>РЕШЕНИЕ</w:t>
        <w:br/>
        <w:t>по делу № 077/06/105-14933/2026 о нарушении</w:t>
        <w:br/>
        <w:t>законодательства о контрактной системе</w:t>
        <w:br/>
        <w:t>13.10.2026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 ,</w:t>
        <w:br/>
        <w:t>Специалиста-эксперта отдела обжалования государственных закупок</w:t>
        <w:br/>
        <w:t>А.С. Гелмутдиновой,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ГБУЗ ММКЦ «Вороновское» ДЗМ: Ширяева Н.А. (по дов. от 17.03.2025 №18)</w:t>
        <w:br/>
        <w:t>(до и после перерыва),</w:t>
        <w:br/>
        <w:t>ООО УК «ЭЙКОСЪ»: Фадина А.В. (по дов. от 03.09.2026 №9) (до и после</w:t>
        <w:br/>
        <w:t>перерыва),</w:t>
        <w:br/>
        <w:t>рассмотрев жалобу ООО УК «ЭЙКОСЪ» (далее — Заявитель) на действия</w:t>
        <w:br/>
        <w:t>ГБУЗ ММКЦ «Вороновское» ДЗМ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энтерального питания для нужд ГБУЗ ММКЦ «ВОРОНОВСКОЕ» ДЗМ в 2026 году</w:t>
        <w:br/>
        <w:t>(Закупка №0373500004526000373) (далее — электронный аукцион, аукцион ), в</w:t>
        <w:br/>
        <w:t>соответствии с Федеральным законом от 05.04.2013 № 44-ФЗ «О контрактной</w:t>
        <w:br/>
        <w:t>2026-56231</w:t>
        <w:br/>
        <w:t>2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1. В составе жалобы Заявитель указывает, что в описание объекта закупки по</w:t>
        <w:br/>
        <w:t>п. 1-2 «Смесь энтеральная» при использовании позиции каталога товаров, работ,</w:t>
        <w:br/>
        <w:t>услуг для обеспечения государственных и муниципальных нужд (далее — КТРУ)</w:t>
        <w:br/>
        <w:t>10.86.10.191-00000001 «Смесь энтеральная» включены дополнительные</w:t>
        <w:br/>
        <w:t>характеристики без надлежащего обоснования, что, по мнению Заявителя, нарушает</w:t>
        <w:br/>
        <w:t>положения Правил использования КТРУ и Закона о контрактной системе.</w:t>
      </w:r>
    </w:p>
    <w:p>
      <w:r>
        <w:t>При этом в жалобе конкретизировано, что, например, по п. 1 «Смесь</w:t>
        <w:br/>
        <w:t>энтеральная» Заказчиком не представлено обоснование использование таких</w:t>
        <w:br/>
        <w:t>характеристик, как осмолярность, вид основы смеси энтеральной, вид цельного</w:t>
        <w:br/>
        <w:t>белка в основе смеси энтеральной, требование к смеси энтеральной. Также по п. 2</w:t>
        <w:br/>
        <w:t>«Смесь энтеральная» Заказчиком в составе обоснования использования</w:t>
        <w:br/>
        <w:t>дополнительных характеристик указано, что данная смесь должна быть</w:t>
        <w:br/>
        <w:t>предназначена для детей с трех лет, что также не является надлежащим</w:t>
        <w:br/>
        <w:t>обоснованием, поскольку фактически, с учетом инструкции по заполнению заявки,</w:t>
        <w:br/>
        <w:t>участникам закупки представляется возможным предложить Заказчику к поставке</w:t>
        <w:br/>
        <w:t>товар, предназначенный для потребления детьми, например с 10 летнего возраста.</w:t>
        <w:br/>
        <w:t>Также Заявитель указал, что Заказчик неправомерно указал требование к</w:t>
        <w:br/>
        <w:t>остаточному сроку годности в составе раздела «обоснование использования</w:t>
        <w:br/>
        <w:t>дополнительных характеристик».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 бования к товарам, информации,</w:t>
        <w:br/>
        <w:t>работам, услугам при условии, что такие требования или указания влекут за собой</w:t>
        <w:br/>
        <w:t>2026-56231</w:t>
        <w:br/>
        <w:t>3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</w:t>
        <w:br/>
        <w:t>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</w:t>
        <w:br/>
        <w:t>показателей и (или) значения показателей, которые не могут изменяться.</w:t>
        <w:br/>
        <w:t>В силу п.5 ч.1 ст.42 Закона о контрактной системе извещение об</w:t>
      </w:r>
    </w:p>
    <w:p>
      <w:r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2026-56231</w:t>
        <w:br/>
        <w:t>4</w:t>
        <w:br/>
        <w:t>б) единицы измерения количества товара, объема выполняемой работы,</w:t>
        <w:br/>
        <w:t>оказываемой услуги (при наличии);</w:t>
      </w:r>
    </w:p>
    <w:p>
      <w:r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</w:t>
        <w:br/>
        <w:t>о 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При этом п.7 Правил использования КТРУ регламентировано,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ст.33 Закона о контрактной системе.</w:t>
        <w:br/>
        <w:t>При 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Комиссией Управления установлено, что согласно описанию объекта закупки</w:t>
        <w:br/>
        <w:t>Заказчиком установлены следующие требования к закупаемому товару, например,</w:t>
        <w:br/>
        <w:t>по п. 1 «Смесь энтеральная», позиции КТРУ 10.86.10.191-00000001:</w:t>
        <w:br/>
        <w:t>«Осмолярность, мОсм/л: ≤ 400».</w:t>
        <w:br/>
        <w:t>При этом в описании объекта закупки разделе «Обоснование</w:t>
        <w:br/>
        <w:t>дополнительных характеристик» предусмотрено следующее обоснование</w:t>
        <w:br/>
        <w:t>включения дополнительного требования, не предусмотренного выбранной</w:t>
      </w:r>
    </w:p>
    <w:p>
      <w:r>
        <w:t>позицией КТРУ 10.86.10.191-00000001 : «Обоснование дополнительных</w:t>
        <w:br/>
        <w:t>характеристик: Смесь для энтерального питания (зондового использования) для</w:t>
        <w:br/>
        <w:t>взрослых и детей старше 3-х лет, с высокими потребностями в белке и энергии,</w:t>
        <w:br/>
        <w:t>при различных заболеваниях, включая критические состояния, термические</w:t>
        <w:br/>
        <w:t>поражения, онкологические заболевания, заболевания органов желудочно-</w:t>
        <w:br/>
        <w:t>кишечного тракта, муковисцидоз, паллиативные состояния, в качестве основного</w:t>
        <w:br/>
        <w:t>или дополнительного питания, когда обычный прием пищи невозможен, ограничен</w:t>
        <w:br/>
        <w:t>или недостаточен Обоснование необходимости использования дополнительной</w:t>
        <w:br/>
        <w:t>2026-56231</w:t>
        <w:br/>
        <w:t>5</w:t>
        <w:br/>
        <w:t>информации в соответствии с п. 6 Постановления Правительства РФ от</w:t>
        <w:br/>
        <w:t>08.02.2017 N 145: отсутствие в справочнике КТРУ технических характеристик</w:t>
        <w:br/>
        <w:t>товара, позволяющих определить его качественные и функциональные свойства.</w:t>
        <w:br/>
        <w:t>Требования к товару, сформулированы Заказчиком в соответствии с положениями</w:t>
        <w:br/>
        <w:t>статьи 33 Закона 44-ФЗ, с учетом потребностей Заказчика, исходя из специфики</w:t>
        <w:br/>
        <w:t>деятельности Заказчика, а также с учетом других необходимых для Заказчика</w:t>
        <w:br/>
        <w:t>функций и характеристик товара. Остаточный срок годности на момент</w:t>
        <w:br/>
        <w:t>поставки: Не менее 9 мес. (в целях получения продукции, которая будет пригодна</w:t>
        <w:br/>
        <w:t>для использования по назначению в необходимый получателю период времени.) 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представители Заказчика пояснил что, в</w:t>
        <w:br/>
        <w:t>опубликованном описании объекта закупки по каждой закупаемой позиции</w:t>
        <w:br/>
        <w:t>приведены назначение, категория пациентов, форма и способ применения,</w:t>
        <w:br/>
        <w:t>клиническая ситуация и остаточный срок годности. Эти сведения необходимо</w:t>
        <w:br/>
        <w:t>читать совместно с перечнем характеристик: они раскрывают требуемый</w:t>
        <w:br/>
        <w:t>функциональный результат.</w:t>
        <w:br/>
        <w:t>Представитель Заказчика также отметил, что согласно письму Минфина</w:t>
        <w:br/>
        <w:t>России от 23.11.2023 № 24-03-09/112443 форма и содержание такого обоснования</w:t>
        <w:br/>
        <w:t>нормативно не установлены и определяются Заказчиком. При этом обоснование</w:t>
        <w:br/>
        <w:t>включения дополнительных требований, не предусмотренных выбранной позицией</w:t>
        <w:br/>
        <w:t>КТРУ , не изменяют ни одной характеристики описания объекта закупки и не</w:t>
      </w:r>
    </w:p>
    <w:p>
      <w:r>
        <w:t>создают новую потребность после размещения извещения, они конкретизируют</w:t>
        <w:br/>
        <w:t>медицинский и технологический смысл уже опубликованного описания.</w:t>
        <w:br/>
        <w:t>Также представитель Заказчика отметил, что требование об остаточном сроке</w:t>
        <w:br/>
        <w:t>годности находится непосредственно в Приложении 1 к Техническому заданию — то</w:t>
        <w:br/>
        <w:t>есть внутри описания объекта закупки: не менее 9 месяцев для позиций 1–3 и не</w:t>
        <w:br/>
        <w:t>менее 5 месяцев для позиции 4. Его размещение в текстовом блоке рядом с</w:t>
        <w:br/>
        <w:t>обоснованием не исключает условие из описания и не лишает его обязательной</w:t>
        <w:br/>
        <w:t>силы.</w:t>
        <w:br/>
        <w:t>При этом комиссия Управления отмечает, что размещенное Заказчиком в</w:t>
        <w:br/>
        <w:t>составе описания объекта закупки обоснование необходимости использования</w:t>
        <w:br/>
        <w:t>дополнительной информации, например по п. 1 «Смесь энтеральная», позиции</w:t>
        <w:br/>
        <w:t>КТРУ 10.86.10.191-00000001, по всем дополнительным характеристикам:</w:t>
        <w:br/>
        <w:t>«Обоснование дополнительных характеристик: Смесь для энтерального</w:t>
        <w:br/>
        <w:t>питания (зондового использования) для взрослых и детей старше 3-х лет, с</w:t>
        <w:br/>
        <w:t>высокими потребностями в белке и энергии, при различных заболеваниях,</w:t>
        <w:br/>
        <w:t>включая критические состояния, термические поражения, онкологические</w:t>
        <w:br/>
        <w:t>заболевания, заболевания органов желудочно-кишечного тракта, муковисцидоз,</w:t>
        <w:br/>
        <w:t>паллиативные состояния, в качестве основного или дополнительного питания,</w:t>
        <w:br/>
        <w:t>когда обычный прием пищи невозможен, ограничен или недостаточен</w:t>
        <w:br/>
        <w:t>Обоснование необходимости использования дополнительной информации в</w:t>
        <w:br/>
        <w:t>2026-56231</w:t>
        <w:br/>
        <w:t>6</w:t>
        <w:br/>
        <w:t>соответствии с п. 6 Постановления Правительства РФ от 08.02.2017 N 145:</w:t>
        <w:br/>
        <w:t>отсутствие в справочнике КТРУ технических характеристик товара,</w:t>
        <w:br/>
        <w:t>позволяющих определить его качественные и функциональные свойства.</w:t>
        <w:br/>
        <w:t>Требования к товару, сформулированы Заказчиком в соответствии с</w:t>
        <w:br/>
        <w:t>положениями статьи 33 Закона 44-ФЗ, с учетом потребностей Заказчика,</w:t>
        <w:br/>
        <w:t>исходя из специфики деятельности Заказчика, а также с учетом других</w:t>
        <w:br/>
        <w:t>необходимых для Заказчика функций и характеристик товара. Остаточный срок</w:t>
        <w:br/>
        <w:t>годности на момент поставки: Не менее 9 мес. (в целях получения продукции,</w:t>
        <w:br/>
        <w:t>которая будет пригодна для использования по назначению в необходимый</w:t>
        <w:br/>
        <w:t>получателю период времени.)» не соответствует п.6 Правил использования КТРУ ,</w:t>
        <w:br/>
        <w:t>так как формальное указание в описании объекта закупки, извещении об</w:t>
        <w:br/>
        <w:t>осуществлении закупки на отсутствие характеристики в позиции КТРУ не</w:t>
        <w:br/>
        <w:t>указывает на потребностью Заказчика, подлежащую удовлетворению в связи с</w:t>
      </w:r>
    </w:p>
    <w:p>
      <w:r>
        <w:t>использованием дополнительной информацией, в части установления</w:t>
        <w:br/>
        <w:t>определенных требований к характеристикам закупаемых изделий, при этом</w:t>
        <w:br/>
        <w:t>указание общего назначения закупаемого товара, также не может являться</w:t>
        <w:br/>
        <w:t>надлежащим исполнением требований п.6 Правил использования КТРУ , так как</w:t>
        <w:br/>
        <w:t>обоснование использование дополнительной информации, предусмотренное п.6</w:t>
        <w:br/>
        <w:t>Правил использования КТРУ , подразумевает необходимость размещения</w:t>
        <w:br/>
        <w:t>информации, позволяющей определить потребность заказчика в конкретной</w:t>
        <w:br/>
        <w:t>дополнительной характеристике, но не формального общего указания на</w:t>
        <w:br/>
        <w:t>назначение закупаемого товара.</w:t>
        <w:br/>
        <w:t>Также Комиссия Управления обращает особое внимание на то, что раздел</w:t>
        <w:br/>
        <w:t>«Обоснование включения дополнительной информации в сведения о товаре,</w:t>
        <w:br/>
        <w:t>работе, услуге» по своей сути относится непосредственно к самому обоснованию</w:t>
        <w:br/>
        <w:t>использования характеристик не предусмотренных КТРУ .</w:t>
        <w:br/>
        <w:t>Вместе с этим размещенное в составе описания объекта закупки</w:t>
        <w:br/>
        <w:t>обоснование также содержит в себе требование, а не обоснование: «Остаточный</w:t>
        <w:br/>
        <w:t>срок годности на момент поставки: Не менее 9 мес. (в целях получения</w:t>
        <w:br/>
        <w:t>продукции, которая будет пригодна для использования по назначению в</w:t>
        <w:br/>
        <w:t>необходимый получателю период времени.)» .</w:t>
        <w:br/>
        <w:t>Таким образом, Заказчику надлежало отразить все значимые характеристики</w:t>
        <w:br/>
        <w:t>закупаемых товаров в разделах «Наименование характеристики», «Значение</w:t>
        <w:br/>
        <w:t>характеристики», «Единица измерения характеристики» с указанием в</w:t>
        <w:br/>
        <w:t>соответствующих графах наименования характеристик, значение характеристик,</w:t>
        <w:br/>
        <w:t>единицы измерения характеристик, инструкцию по заполнению характеристик в</w:t>
        <w:br/>
        <w:t>заявке, а в разделе «Обоснование включения дополнительной информации в</w:t>
        <w:br/>
        <w:t>сведения о товаре, работе, услуге» отразить исключительно обоснование таких</w:t>
        <w:br/>
        <w:t>характеристик, в случае, если они не предусмотрены используемой Заказчиком</w:t>
        <w:br/>
        <w:t>позицией КТРУ .</w:t>
        <w:br/>
        <w:t>Таким образом, Комиссия Управления приходит к выводу о нарушении</w:t>
        <w:br/>
        <w:t>Заказчиком ч.6 ст.23 Закона о контрактной системе, что также свидетельствует о</w:t>
        <w:br/>
        <w:t>2026-56231</w:t>
        <w:br/>
        <w:t>7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ч.5 ст.7.30.1 Кодекса</w:t>
        <w:br/>
        <w:t>Российской Федерации об административных правонарушениях.</w:t>
        <w:br/>
        <w:t>2. В составе жалобы Заявитель также указывает, что совокупности</w:t>
        <w:br/>
        <w:t>установленных Заказчиком требований к характеристикам необходимых к поставке</w:t>
        <w:br/>
        <w:t>товаров по п. 4 «Смесь энтеральная» соответствует товар единственного</w:t>
        <w:br/>
        <w:t>иностранного производителя, при этом Заявитель указывает, что объективная</w:t>
      </w:r>
    </w:p>
    <w:p>
      <w:r>
        <w:t>потребность в установлении дополнительных характеристик в столь узких</w:t>
        <w:br/>
        <w:t>диапазонах, например, что смесь должна содержать, например, пищевые волокна ≥</w:t>
        <w:br/>
        <w:t>1.5 и ≤ 2 на 100 мл у Заказчика отсутствует.</w:t>
        <w:br/>
        <w:t>Также Заявитель указывает, что, по мнению Заявителя, исходя из системного</w:t>
        <w:br/>
        <w:t>толкования ст. 14, ч. 1.1 ст. 33 Закона о контрактной системе, постановления</w:t>
        <w:br/>
        <w:t>Правительства Российской Федерации от 23.12.2024 № 1875 «О мерах по</w:t>
        <w:br/>
        <w:t>предоставлению национального режима при осуществлении закупок товаров, работ,</w:t>
        <w:br/>
        <w:t>услуг для обеспечения государственных и муниципальных нужд, закупок товаров,</w:t>
        <w:br/>
        <w:t>работ, услуг отдельными видами юридических лиц» (далее — Постановление</w:t>
        <w:br/>
        <w:t>№ 1875) при наличии у Заказчика обоснованной потребности в товаре, производство</w:t>
        <w:br/>
        <w:t>которого на территории Российской Федерации отсутствует, Заказчик обязан</w:t>
        <w:br/>
        <w:t>выделять такую закупку в отдельный лот, чтобы не ограничивать отечественных</w:t>
        <w:br/>
        <w:t>производителей, способных поставить свою продукцию, однако в данной закупке,</w:t>
        <w:br/>
        <w:t>Заказчиком в один лот объединена поставка изделий как российского, так и</w:t>
        <w:br/>
        <w:t>иностранного производства, так как, например, по позиции 2 подходит</w:t>
        <w:br/>
        <w:t>производитель Nutrien Fort (АО «Инфаприм», Россия), а по п. 4 «Смесь энтеральная»</w:t>
        <w:br/>
        <w:t>соответствует товар единственного иностранного производителя.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 Допускается использование в описании объекта закупки указания на</w:t>
        <w:br/>
        <w:t>товарный знак в следующих случаях:</w:t>
      </w:r>
    </w:p>
    <w:p>
      <w:r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2026-56231</w:t>
        <w:br/>
        <w:t>8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</w:t>
        <w:br/>
        <w:t>медицинской документации пациента и журнале врачебной комиссии. Перечень</w:t>
        <w:br/>
        <w:t>указанных медицинских изделий, специализированных продуктов лечебного</w:t>
        <w:br/>
        <w:t>питания и порядок его формирования утверждаются Правительством Российской</w:t>
        <w:br/>
        <w:t>Федерации.</w:t>
        <w:br/>
        <w:t>В силу ч.1.1 ст.33 Закона о контрактной системе при описании являющегося</w:t>
        <w:br/>
        <w:t>объектом закупки товара (в том числе поставляемого при выполнении закупаемой</w:t>
        <w:br/>
        <w:t>работы, оказании закупаемой услуги), в отношении которого установлены</w:t>
        <w:br/>
        <w:t>предусмотренные п.1 ч.2 ст.14 Закона о контрактной системе запрет, ограничение</w:t>
        <w:br/>
        <w:t>или преимущество, указываются характеристики товара российского</w:t>
        <w:br/>
        <w:t>происхождения.</w:t>
        <w:br/>
        <w:t>Согласно ч.2 ст.33 Закона о контрактной системе описание объекта закупки</w:t>
        <w:br/>
        <w:t>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</w:t>
        <w:br/>
        <w:t>показателей и (или) значения показателей, которые не могут изменяться.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</w:r>
    </w:p>
    <w:p>
      <w:r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2026-56231</w:t>
        <w:br/>
        <w:t>9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П.1 Постановления Правительства РФ от 23.12.2024 №1875 «О мерах по</w:t>
      </w:r>
    </w:p>
    <w:p>
      <w:r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2026-56231</w:t>
        <w:br/>
        <w:t>10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Комиссия Управления установлено, что Заказчиком закупаются, например,</w:t>
        <w:br/>
        <w:t>товары по п. 4 «Смесь энтеральная», позиции КТРУ 10.86.10.191-00000001 «Смесь</w:t>
        <w:br/>
        <w:t>энтеральная».</w:t>
        <w:br/>
        <w:t>Комиссией Управления определено, что, Заказчиком установлены, в том</w:t>
        <w:br/>
        <w:t>числе, следующие требования к товару по п. 4 «Смесь энтеральная»:</w:t>
        <w:br/>
        <w:t>«Содержание пищевых волокон в 100 мл продукта, готового к употреблению: ≥</w:t>
        <w:br/>
        <w:t>1.5 и ≤ 2 Грамм».</w:t>
        <w:br/>
        <w:t>Также Комиссия Управления отмечает, что в извещении о закупочной</w:t>
        <w:br/>
        <w:t>процедуре Заказчиком во всем закупаемым позициям установлено преимущество,</w:t>
        <w:br/>
        <w:t>предусмотренное Постановлением № 1875.</w:t>
        <w:br/>
        <w:t>Согласно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Заявителя пояснил, что по</w:t>
        <w:br/>
        <w:t>п. 4 «Смесь энтеральная» подходит товар единственного иностранного</w:t>
      </w:r>
    </w:p>
    <w:p>
      <w:r>
        <w:t>производителя «Нутризон Протеин Эдванс».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по</w:t>
        <w:br/>
        <w:t>п. 4 «Смесь энтеральная» соответствуют следующие товары: «Нутрикомп Энергия</w:t>
        <w:br/>
        <w:t>Файбер», Б.Браун; «Нутризон Протеин Эдванс», Нутриция.</w:t>
        <w:br/>
        <w:t>Представитель Заказчика отметил, что Приказ Минздрава России от</w:t>
        <w:br/>
        <w:t>05.08.2003 № 330 исходит не из универсальности любой смеси, а из</w:t>
        <w:br/>
        <w:t>индивидуального выбора. Состав продукта выбирается с учётом данных</w:t>
        <w:br/>
        <w:t>клинического, инструментального и лабораторного обследования, характера и</w:t>
        <w:br/>
        <w:t>тяжести заболевания и сохранности функций желудочно-кишечного тракта. Тем же</w:t>
        <w:br/>
        <w:t>приказом предусмотрены разные категории смесей: стандартные,</w:t>
        <w:br/>
        <w:t>высококалорийные, высокобелковые, смеси для нарушений функции лёгких,</w:t>
        <w:br/>
        <w:t>печени, почек, ЖКТ и иных состояний.</w:t>
        <w:br/>
        <w:t>Также представитель Заказчика пояснил, что, если, например, объём продукта</w:t>
        <w:br/>
        <w:t>увеличить или уменьшить, в одной и той же пропорции изменятся одновременно</w:t>
        <w:br/>
        <w:t>белок, жиры, углеводы, энергия, вода, электролиты, витамины и иные компоненты.</w:t>
        <w:br/>
        <w:t>Так, доведение одной смеси до требуемого количества белка может одновременно</w:t>
        <w:br/>
        <w:t>2026-56231</w:t>
        <w:br/>
        <w:t>11</w:t>
        <w:br/>
        <w:t>привести к превышению допустимого объёма жидкости, углеводной или</w:t>
        <w:br/>
        <w:t>энергетической нагрузки; уменьшение объёма для ограничения энергии может,</w:t>
        <w:br/>
        <w:t>напротив, создать дефицит белка и микронутриентов. Поэтому состав на 100 мл и</w:t>
        <w:br/>
        <w:t>плотность нутриентов имеют самостоятельное клиническое и технологическое</w:t>
        <w:br/>
        <w:t>значение.</w:t>
        <w:br/>
        <w:t>Также представитель Заказчика пояснил, что Постановление № 1875 не</w:t>
        <w:br/>
        <w:t>устанавливает обязанности разделять российские и иностранные товары на лоты.</w:t>
        <w:br/>
        <w:t>Так, все закупаемые Заказчиком позиции относятся к одному виду лечебного</w:t>
        <w:br/>
        <w:t>питания, имеют единое назначение, условия поставки, хранения и приёмки.</w:t>
        <w:br/>
        <w:t>Комиссией Управления был объявлен перерыв в рассмотрении жалобы.</w:t>
        <w:br/>
        <w:t>После объявленного перерыва в обоснование своей позиции представитель</w:t>
        <w:br/>
        <w:t>Заказчика представил сравнительную таблицу, содержащую указание на</w:t>
        <w:br/>
        <w:t>характеристики соответствующих товаров по п. 4 «Смесь энтеральная» как</w:t>
        <w:br/>
        <w:t>минимум двух различных производителей.</w:t>
        <w:br/>
        <w:t>После объявленного перерыва представитель Заявителя пояснил, что</w:t>
      </w:r>
    </w:p>
    <w:p>
      <w:r>
        <w:t>«Нутрикомп Энергия Файбер» Б.Браун не подходит по п. 4 «Смесь энтеральная»,</w:t>
        <w:br/>
        <w:t>так как в отрытых источниках не содержится информация о части характеристик,</w:t>
        <w:br/>
        <w:t>требуемых Заказчиком.</w:t>
        <w:br/>
        <w:t>Вместе с тем доказательств несоответствия «Нутрикомп Энергия Файбер»</w:t>
        <w:br/>
        <w:t>Б.Браун Заявителем не представлено.</w:t>
        <w:br/>
        <w:t>Кроме того, Заявителем не представлено доказательств того обстоятельства,</w:t>
        <w:br/>
        <w:t>что содержащиеся в извещении требования необоснованно создали одним</w:t>
        <w:br/>
        <w:t>участникам закупки преимущество перед другими, являются непреодолимыми для</w:t>
        <w:br/>
        <w:t>некоторых участников закупки, а также каким-либо иным образом повлекли за</w:t>
        <w:br/>
        <w:t>собой ограничение количества участников закупки.</w:t>
        <w:br/>
        <w:t>Также Заявителем не представлено доказательств того, что у Заказчика</w:t>
        <w:br/>
        <w:t>объективно отсутствует необходимость в получении именно тех товаров, с теми</w:t>
        <w:br/>
        <w:t>качественными, функциональными и техническими характеристиками и именно в</w:t>
        <w:br/>
        <w:t>той комплектации, которая указана в извещении. В свою очередь, при наличии у</w:t>
        <w:br/>
        <w:t>Заказчика потребности в получении определенных товаров вести речь о</w:t>
        <w:br/>
        <w:t>необоснованном ограничении им количества потенциальных участников закупки</w:t>
        <w:br/>
        <w:t>не приходится. Доказательств обратного Заявителем Комиссии Управления не</w:t>
        <w:br/>
        <w:t>представлено.</w:t>
        <w:br/>
        <w:t>Комиссия Управления также отмечает, что предъявленные Заказчиком</w:t>
        <w:br/>
        <w:t>требования к поставляемому товару в равной степени распространялись на всех</w:t>
        <w:br/>
        <w:t>участников закупки, ввиду чего любое лицо обладало возможностью закупить и</w:t>
        <w:br/>
        <w:t>поставить требуемый товар. Каких-либо доказательств невозможности совершения</w:t>
        <w:br/>
        <w:t>данных действий Заявителем не представлено, ввиду чего у Комиссии отсутствуют</w:t>
        <w:br/>
        <w:t>правовые основания считать Заказчика нарушившим требования Закона о</w:t>
        <w:br/>
        <w:t>контрактной системе.</w:t>
        <w:br/>
        <w:t>Также Комиссия Управления отмечает, что в рассматриваемом случае</w:t>
        <w:br/>
        <w:t>извещением по всем позициям установлен национальный режим в виде</w:t>
        <w:br/>
        <w:t>преимущества в соответствии с Постановлением № 1875, что свидетельствует о</w:t>
        <w:br/>
        <w:t>применении механизма национального режима ко всему предмету закупки, а не к его</w:t>
        <w:br/>
        <w:t>2026-56231</w:t>
        <w:br/>
        <w:t>12</w:t>
        <w:br/>
        <w:t>части.</w:t>
        <w:br/>
        <w:t>Вместе с этим Комиссия Управления отмечает, что в положениях</w:t>
        <w:br/>
        <w:t>Постановления № 1875 отсутствуют нормы, запрещающие объединение в один лот</w:t>
        <w:br/>
        <w:t>закупаемых товаров зарубежного и российского производства, ввиду чего у</w:t>
        <w:br/>
        <w:t>Комиссии Управления отсутствуют правовые основания считать неправомерным</w:t>
        <w:br/>
        <w:t>объединение изделий российского и иностранного производства в рамках одного</w:t>
        <w:br/>
        <w:t>лота.</w:t>
      </w:r>
    </w:p>
    <w:p>
      <w:r>
        <w:t>На основании вышеизложенного Комиссия Управления приходит к выводу, что</w:t>
        <w:br/>
        <w:t>данный довод жалобы не нашел своего подтверждения и является необоснованным.</w:t>
        <w:br/>
        <w:t>3. Также в составе жалобы Заявитель указывает, что в п. 2.5 технического</w:t>
        <w:br/>
        <w:t>задания, Заказчиком установлено, что поставка осуществляется по заявкам, в срок,</w:t>
        <w:br/>
        <w:t>указанный в заявке, при этом, указанный срок в составе извещения не уточняется,</w:t>
        <w:br/>
        <w:t>что вводит Заявителя в заблуждение, не позволяет определить сроки поставки.</w:t>
        <w:br/>
        <w:t>В соответствии с п.8 ч.1 ст.42 Закона о контрактной системе при</w:t>
        <w:br/>
        <w:t>осуществлении закупки путем проведения открытых конкурентных способов</w:t>
        <w:br/>
        <w:t>заказчик формирует с использованием единой информационной системы,</w:t>
        <w:br/>
        <w:t>подписывает усиленной электронной подписью лица, имеющего право действовать</w:t>
        <w:br/>
        <w:t>от имени заказчика, и размещает в единой информационной системе извещение об</w:t>
        <w:br/>
        <w:t>осуществлении закупки, содержащее срок исполнения контракта (отдельных этапов</w:t>
        <w:br/>
        <w:t>исполнения контракта, если проектом контракта предусмотрены такие этапы).</w:t>
        <w:br/>
        <w:t>Комиссией Управления установлено, что в описании объекта закупки в</w:t>
        <w:br/>
        <w:t>электронном документе «Техническое задание», размещенном в составе извещения,</w:t>
        <w:br/>
        <w:t>указано в п.2.5:</w:t>
        <w:br/>
        <w:t>«2.5. Поставка товара осуществляется:</w:t>
        <w:br/>
        <w:t>- партиями по заявкам Заказчика, составленным по форме, установленной</w:t>
        <w:br/>
        <w:t>Приложением 2 «Форма заявки» к настоящему Техническому заданию. Заявка</w:t>
        <w:br/>
        <w:t>направляется Поставщику посредством электронной почты не менее чем за 1</w:t>
        <w:br/>
        <w:t>(один) рабочий день до даты начала поставки товара , указанной в заявке.</w:t>
        <w:br/>
        <w:t>Поставка товара осуществляется Поставщиком в количестве и ассортименте, а</w:t>
        <w:br/>
        <w:t>также в сроки и по адресам, указанным в заявке и Приложении 1 «Перечень</w:t>
        <w:br/>
        <w:t>объектов закупки» к настоящему Техническому заданию. Поставщик в день</w:t>
        <w:br/>
        <w:t>получения заявки подтверждает посредством электронной почты факт ее</w:t>
        <w:br/>
        <w:t>получения с последующим представлением подписанной заявки в составе комплекта</w:t>
        <w:br/>
        <w:t>отчетных документов в соответствии с пунктом 2.14 настоящего Технического</w:t>
        <w:br/>
        <w:t>задания».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</w:r>
    </w:p>
    <w:p>
      <w:r>
        <w:t>На заседании Комиссии Управления представитель Заказчика пояснил, что</w:t>
        <w:br/>
        <w:t>определён общий период — с даты заключения контракта по 30.11.2026, при этом</w:t>
        <w:br/>
        <w:t>заявка направляется не менее чем за один рабочий день, а её форма содержит</w:t>
        <w:br/>
        <w:t>отдельную графу «Срок/Дата поставки».</w:t>
        <w:br/>
        <w:t>2026-56231</w:t>
        <w:br/>
        <w:t>13</w:t>
        <w:br/>
        <w:t>Вместе с тем в силу ч.4 ст.106 Закона о контрактной системе участник</w:t>
        <w:br/>
        <w:t>закупки, подавший жалобу, вправе представить для рассмотрения жалобы по</w:t>
        <w:br/>
        <w:t>существу информацию и документы, подтверждающие обоснованность доводов</w:t>
        <w:br/>
        <w:t>жалобы, при этом на заседании Комиссии Управления, а также в составе жалобы</w:t>
        <w:br/>
        <w:t>Заявителем не представлено доказательств, что указанное требование к сроку</w:t>
        <w:br/>
        <w:t>ограничивает количество участников закупки, а также, что поставка априори</w:t>
        <w:br/>
        <w:t>невозможна в установленный срок.</w:t>
        <w:br/>
        <w:t>Вместе с этим Комиссия Управления считает необходимым отметить, что</w:t>
        <w:br/>
        <w:t>Заявителем не учтено, что основной задачей законодательства,</w:t>
        <w:br/>
        <w:t>устанавливающего порядок проведения закупок, является не столько</w:t>
        <w:br/>
        <w:t>обеспечение максимально широкого круга участников закупки, сколько</w:t>
        <w:br/>
        <w:t>выявление в результате торгов лица, исполнение контракта которым в</w:t>
        <w:br/>
        <w:t>наибольшей степени будет отвечать целям эффективного использования</w:t>
        <w:br/>
        <w:t>источников финансирования, предотвращения злоупотреблений в сфере закупок</w:t>
        <w:br/>
        <w:t>товаров, работ, услуг для обеспечения государственных и муниципальных нужд.</w:t>
        <w:br/>
        <w:t>При этом Закон о контрактной системе не вменяет Заказчикам обязанность</w:t>
        <w:br/>
        <w:t>обеспечить возможность участия в закупочной процедуре всех хозяйствующих</w:t>
        <w:br/>
        <w:t>субъектов оценивая их возможности при планировании закупки.</w:t>
        <w:br/>
        <w:t>Резюмируя вышеизложенное, Комиссия Управления приходит к выводу, что</w:t>
        <w:br/>
        <w:t>данный довод жалобы не нашел своего подтверждения и является</w:t>
        <w:br/>
        <w:t>необоснованным.</w:t>
        <w:br/>
        <w:t>4. Также Заявителем в составе дополнительных документов были указаны</w:t>
        <w:br/>
        <w:t>новые доводы, не содержащиеся в составе жалобы и озвученные представителем</w:t>
        <w:br/>
        <w:t>Заявителя в ходе рассмотрения указанной жалобы.</w:t>
        <w:br/>
        <w:t>Заявляя новые доводы в рамках возбужденного производства по иной жалобе,</w:t>
        <w:br/>
        <w:t>ранее назначенной к рассмотрению, Заявитель лишает контрольный орган в сфере</w:t>
        <w:br/>
        <w:t>закупок осуществить предусмотренные законом процессуальные действия,</w:t>
        <w:br/>
        <w:t>предусмотренные Законом о контрактной системе, а Заказчика и иных лиц, права и</w:t>
        <w:br/>
        <w:t>законные интересы которых непосредственно затрагиваются в результате</w:t>
        <w:br/>
        <w:t>рассмотрения жалобы возможности предоставить возражения.</w:t>
      </w:r>
    </w:p>
    <w:p>
      <w:r>
        <w:t>Таким образом, рассмотрение новых доводов по существу приведет к</w:t>
        <w:br/>
        <w:t>нарушению процессуальных прав заказчика и иных лиц, права и законные</w:t>
        <w:br/>
        <w:t>интересы которых непосредственно затрагиваются в результате рассмотрения</w:t>
        <w:br/>
        <w:t>жалобы на подготовку мотивированной правовой позиции по данным доводам и</w:t>
        <w:br/>
        <w:t>нарушению принципа равноправия сторон.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2026-56231</w:t>
        <w:br/>
        <w:t>14</w:t>
        <w:br/>
        <w:t>РЕШИЛА:</w:t>
        <w:br/>
        <w:t>1.Признать жалобу ООО УК «ЭЙКОСЪ» на действия ГБУЗ ММКЦ</w:t>
        <w:br/>
        <w:t>«Вороновское» ДЗМ обоснованной.</w:t>
        <w:br/>
        <w:t>2.Признать в действиях Заказчика нарушение требований ч.6 ст.23 Закона</w:t>
        <w:br/>
        <w:t>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</w:t>
        <w:br/>
        <w:t>Председательствующий Д.С. Грешнева</w:t>
        <w:br/>
        <w:t>Члены Комиссии:</w:t>
        <w:br/>
        <w:t>А.А. Матюшенко</w:t>
        <w:br/>
        <w:t>А.С. Гелмутдинова</w:t>
        <w:br/>
        <w:t>Исп.Гелмутдинова А.С.</w:t>
        <w:br/>
        <w:t>тел.8(495)784-75-05</w:t>
        <w:br/>
        <w:t>2026-56231</w:t>
      </w:r>
    </w:p>
    <w:p>
      <w:pPr>
        <w:pStyle w:val="Heading1"/>
      </w:pPr>
      <w:r>
        <w:t>Предписание</w:t>
      </w:r>
    </w:p>
    <w:p>
      <w:r>
        <w:t>ГБУЗ ММКЦ «Вороновское» ДЗМ</w:t>
        <w:br/>
        <w:t>MMKCV@zdrav.mos.ru</w:t>
        <w:br/>
        <w:t>ООО УК «ЭЙКОСЪ»</w:t>
        <w:br/>
        <w:t>ukeikos@ukeikos.ru</w:t>
        <w:br/>
        <w:t>АО«ЕЭТП»</w:t>
        <w:br/>
        <w:t>ko@roseltorg.ru</w:t>
        <w:br/>
        <w:t>ПРЕДПИСАНИЕ</w:t>
        <w:br/>
        <w:t>по делу № 077/06/105-14933/2026 об устранении нарушений</w:t>
        <w:br/>
        <w:t>законодательства о контрактной системе</w:t>
        <w:br/>
        <w:t>13.10.2026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 ,</w:t>
        <w:br/>
        <w:t>Специалиста-эксперта отдела обжалования государственных закупок</w:t>
        <w:br/>
        <w:t>А.С. Гелмутдиновой,</w:t>
        <w:br/>
        <w:t>на основании решения Комиссии от 13.10.2026 по делу № 077/06/105-</w:t>
        <w:br/>
        <w:t>14933/2026, по итогам рассмотрения жалобы ООО УК «ЭЙКОСЪ» (далее —</w:t>
        <w:br/>
        <w:t>Заявитель) на действия ГБУЗ ММКЦ «Вороновское» ДЗМ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энтерального питания для нужд ГБУЗ ММКЦ</w:t>
        <w:br/>
        <w:t>«ВОРОНОВСКОЕ» ДЗМ в 2026 году (Закупка №0373500004526000373) (далее –</w:t>
        <w:br/>
        <w:t>электронный аукцион, аукцион), в соответствии с Федеральным законом от</w:t>
        <w:br/>
        <w:t>05.04.2013 №44-ФЗ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 ,</w:t>
        <w:br/>
        <w:t>ПРЕДПИСЫВАЕТ:</w:t>
        <w:br/>
        <w:t>1. Заказчику, комиссии по осуществлению закупок отменить протокол</w:t>
        <w:br/>
        <w:t>2026-56301</w:t>
        <w:br/>
        <w:t>2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13.10.2026 по</w:t>
        <w:br/>
        <w:t>делу № 077/06/105-14933/2026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13.10.2026 по делу № 077/06/105-14933/2026.</w:t>
        <w:br/>
        <w:t>6. Заказчику, комиссии по осуществлению закупок в срок до 13.11.2026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2026-56301</w:t>
        <w:br/>
        <w:t>3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13.10.2026 по делу № 077/06/105-14933/2026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А.А. Матюшенко</w:t>
        <w:br/>
        <w:t>А.С. Гелмутдинова</w:t>
        <w:br/>
        <w:t>Исп.Гелмутдинова А.С.</w:t>
        <w:br/>
        <w:t>тел.8(495)784-75-05</w:t>
        <w:br/>
        <w:t>2026-56301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