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202600146382002628</w:t>
      </w:r>
    </w:p>
    <w:p>
      <w:r>
        <w:rPr>
          <w:b/>
        </w:rPr>
        <w:t xml:space="preserve">УФАС: </w:t>
      </w:r>
      <w:r>
        <w:t>УФАС по Свердловской области</w:t>
      </w:r>
    </w:p>
    <w:p>
      <w:r>
        <w:rPr>
          <w:b/>
        </w:rPr>
        <w:t xml:space="preserve">Дата решения: </w:t>
      </w:r>
      <w:r>
        <w:t>25.09.2026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0162200011826003030</w:t>
      </w:r>
    </w:p>
    <w:p>
      <w:r>
        <w:rPr>
          <w:b/>
        </w:rPr>
        <w:t xml:space="preserve">Заказчик: </w:t>
      </w:r>
      <w:r>
        <w:t>ГКУ службы занятости населения Свердловской области «Нижнетагильский центр занятости»</w:t>
      </w:r>
    </w:p>
    <w:p>
      <w:r>
        <w:rPr>
          <w:b/>
        </w:rPr>
        <w:t xml:space="preserve">Заявитель: </w:t>
      </w:r>
      <w:r>
        <w:t>ООО «Компания современные решения»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https://zakupki.gov.ru/epz/complaint/card/complaint-information.html?complaintNumber=202600146382002628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УПРАВЛЕНИЕ ФЕДЕРАЛЬНОЙ АНТИМОНОПОЛЬНОЙ СЛУЖБЫ</w:t>
      </w:r>
    </w:p>
    <w:p>
      <w:r>
        <w:t>ПО СВЕРДЛОВСКОЙ ОБЛАСТИ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РЕШЕНИЕ</w:t>
              <w:br/>
              <w:t>по жалобе № 066/06/105-2493/2026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г. Екатеринбург</w:t>
            </w:r>
          </w:p>
        </w:tc>
        <w:tc>
          <w:tcPr>
            <w:tcW w:type="dxa" w:w="4320"/>
          </w:tcPr>
          <w:p>
            <w:r>
              <w:t>28.09.2026 г.</w:t>
            </w:r>
          </w:p>
        </w:tc>
      </w:tr>
    </w:tbl>
    <w:p>
      <w:r>
        <w:t>Комиссия Управления Федеральной антимонопольной службы по Свердловской области по контролю в сфере закупок (далее по тексту - Комиссия) в составе:</w:t>
      </w:r>
    </w:p>
    <w:p>
      <w:r>
        <w:t>***,</w:t>
      </w:r>
    </w:p>
    <w:p>
      <w:r>
        <w:t>посредством использования видеоконференции, с участием представителей,</w:t>
      </w:r>
    </w:p>
    <w:p>
      <w:r>
        <w:t>- заказчика ГКУ СЛУЖБЫ ЗАНЯТОСТИ НАСЕЛЕНИЯ СВЕРДЛОВСКОЙ ОБЛАСТИ «НИЖНЕТАГИЛЬСКИЙ ЦЕНТР ЗАНЯТОСТИ» в лице представителя * (по доверенности);</w:t>
      </w:r>
    </w:p>
    <w:p>
      <w:r>
        <w:t>- заказчика ГКУ СЛУЖБЫ ЗАНЯТОСТИ НАСЕЛЕНИЯ СВЕРДЛОВСКОЙ ОБЛАСТИ «КАМЕНСК-УРАЛЬСКИЙ ЦЕНТР ЗАНЯТОСТИ» в лице представителя * (по доверенности);</w:t>
      </w:r>
    </w:p>
    <w:p>
      <w:r>
        <w:t>- заказчика ГКУ СЛУЖБЫ ЗАНЯТОСТИ НАСЕЛЕНИЯ СВЕРДЛОВСКОЙ ОБЛАСТИ «ПОЛЕВСКОЙ ЦЕНТР ЗАНЯТОСТИ» в лице представителя * (по доверенности);</w:t>
      </w:r>
    </w:p>
    <w:p>
      <w:r>
        <w:t>- уполномоченного органа Департамента государственных закупок свердловской области в лице представителя * (по доверенности),</w:t>
      </w:r>
    </w:p>
    <w:p>
      <w:r>
        <w:t>- в отсутствие представителей заявителя ООО «КОМПАНИЯ СОВРЕМЕННЫЕ РЕШЕНИЯ»;</w:t>
      </w:r>
    </w:p>
    <w:p>
      <w:pPr>
        <w:pStyle w:val="Heading2"/>
      </w:pPr>
      <w:r>
        <w:t>описательная часть</w:t>
      </w:r>
    </w:p>
    <w:p>
      <w:r>
        <w:t>рассмотрев жалобу ООО «КОМПАНИЯ СОВРЕМЕННЫЕ РЕШЕНИЯ» (вх. № 19290/26 от 23.09.2026) о нарушении заказчиками в лице ГКУ СЛУЖБЫ ЗАНЯТОСТИ НАСЕЛЕНИЯ СВЕРДЛОВСКОЙ ОБЛАСТИ «НИЖНЕТАГИЛЬСКИЙ ЦЕНТР ЗАНЯТОСТИ», ГКУ СЛУЖБЫ ЗАНЯТОСТИ НАСЕЛЕНИЯ СВЕРДЛОВСКОЙ ОБЛАСТИ «КАМЕНСК-УРАЛЬСКИЙ ЦЕНТР ЗАНЯТОСТИ», ГКУ СЛУЖБЫ ЗАНЯТОСТИ НАСЕЛЕНИЯ СВЕРДЛОВСКОЙ ОБЛАСТИ «ПОЛЕВСКОЙ ЦЕНТР ЗАНЯТОСТИ» при осуществлении закупки путем проведения электронного аукциона, на поставку серверов (извещение № 0162200011826003030), 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нужд» (далее по тексту – Закон о контрактной системе), и в результате осуществления внеплановой проверки в соответствии со статьей 99, 106 Закона о контрактной системе,</w:t>
      </w:r>
    </w:p>
    <w:p>
      <w:r>
        <w:t>У С Т А Н О В И Л А:</w:t>
      </w:r>
    </w:p>
    <w:p>
      <w:r>
        <w:t>В Управление Федеральной антимонопольной службы по Свердловской области поступила жалоба ООО «КОМПАНИЯ СОВРЕМЕННЫЕ РЕШЕНИЯ» (вх. № 19290/26 от 23.09.2026) о нарушении заказчиками в лице ГКУ СЛУЖБЫ ЗАНЯТОСТИ НАСЕЛЕНИЯ СВЕРДЛОВСКОЙ ОБЛАСТИ «НИЖНЕТАГИЛЬСКИЙ ЦЕНТР ЗАНЯТОСТИ», ГКУ СЛУЖБЫ ЗАНЯТОСТИ НАСЕЛЕНИЯ СВЕРДЛОВСКОЙ ОБЛАСТИ «КАМЕНСК-УРАЛЬСКИЙ ЦЕНТР ЗАНЯТОСТИ», ГКУ СЛУЖБЫ ЗАНЯТОСТИ НАСЕЛЕНИЯ СВЕРДЛОВСКОЙ ОБЛАСТИ «ПОЛЕВСКОЙ ЦЕНТР ЗАНЯТОСТИ» при осуществлении закупки путем проведения электронного аукциона, на поставку серверов (извещение № 0162200011826003030), Закона о контрактной системе, соответствующая требованиям ст.105 Закона о контрактной системе.</w:t>
      </w:r>
    </w:p>
    <w:p>
      <w:r>
        <w:t>Согласно доводам Заявителя, извещение составлено Заказчиком с нарушением требований Закона о контрактной системе.</w:t>
      </w:r>
    </w:p>
    <w:p>
      <w:r>
        <w:t>Жалоба рассмотрена в порядке, предусмотренном статьей 106 Закона о контрактной системе.</w:t>
      </w:r>
    </w:p>
    <w:p>
      <w:r>
        <w:t>11.09.2026 на официальном сайте опубликовано извещение о проведении закупки путем проведения процедуры электронного запроса котировок № 0162200011826003030 на поставку серверов.</w:t>
      </w:r>
    </w:p>
    <w:p>
      <w:r>
        <w:t>Начальная (максимальная) цена контракта составила 17 492 000,00 рублей.</w:t>
      </w:r>
    </w:p>
    <w:p>
      <w:r>
        <w:t>В соответствии с ч. 1 ст. 49 Закона о контрактной системе электронный аукцион начинается с размещения в единой информационной системе извещения об осуществлении закупки. Заявка на участие в закупке должна содержать информацию и документы, предусмотренные подпунктами «м» - «п» пункта 1, подпунктами «а» - «в» пункта 2, пунктом 5 части 1 статьи 43 настоящего Федерального закона. Заявка также может содержать информацию и документы, предусмотренные подпунктом «д» пункта 2 части 1 статьи 43 настоящего Федерального закона.</w:t>
      </w:r>
    </w:p>
    <w:p>
      <w:r>
        <w:t>На основании п. 1, 5 ч. 2 ст. 42 Закона о контактной системе извещение об осуществлении закупки, если иное не предусмотрено настоящим Федеральным законом, должно содержать следующие электронные документы:</w:t>
      </w:r>
    </w:p>
    <w:p>
      <w:r>
        <w:t>описание объекта закупки в соответствии со статьей 33 настоящего Федерального закона;</w:t>
      </w:r>
    </w:p>
    <w:p>
      <w:r>
        <w:t>5) проект контракта;</w:t>
      </w:r>
    </w:p>
    <w:p>
      <w:r>
        <w:t>Согласно п. п. 1, 2 ч. 1 ст. 33 Закона о контрактной системе заказчик в случаях, предусмотренных настоящим Федеральным законом, при описании объекта закупки должен руководствоваться следующими правилами:</w:t>
      </w:r>
    </w:p>
    <w:p>
      <w:r>
        <w:t>1)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в следующих случаях:</w:t>
      </w:r>
    </w:p>
    <w:p>
      <w:r>
        <w:t>а) сопровождение такого указания словами «или эквивалент»;</w:t>
      </w:r>
    </w:p>
    <w:p>
      <w:r>
        <w:t>б) несовместимость товаров, на которых размещаются другие товарные знаки, и необходимость обеспечения взаимодействия таких товаров с товарами, используемыми заказчиком;</w:t>
      </w:r>
    </w:p>
    <w:p>
      <w:r>
        <w:t>в) осуществление закупки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оборудование;</w:t>
      </w:r>
    </w:p>
    <w:p>
      <w:r>
        <w:t>г) осуществление закупки медицинских изделий, специализированных продуктов лечебного питания, необходимых для назначения пациенту по медицинским показаниям (индивидуальная непереносимость, по жизненным показаниям) по решению врачебной комиссии, которое фиксируется в медицинской документации пациента и журнале врачебной комиссии. Перечень указанных медицинских изделий, специализированных продуктов лечебного питания и порядок его формирования утверждаются Правительством Российской Федерации;</w:t>
      </w:r>
    </w:p>
    <w:p>
      <w:r>
        <w:t>2) использование при составлении описания объекта закупки показателей, требований, условных обозначений и терминологии, касающихся технических характеристик, функциональных характеристик (потребительских свойств) товара, работы, услуги и качественных характеристик объекта закупки, которые предусмотрены техническими регламентами, принятыми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иных требований, связанных с определением соответствия поставляемого товара, выполняемой работы, оказываемой услуги потребностям заказчика.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регулировании, законодательством Российской Федерации о стандартизации показатели, требования, условные обозначения и терминология, в таком описании должно содержаться обоснование необходимости использования других показателей, требований, условных обозначений и терминологии.</w:t>
      </w:r>
    </w:p>
    <w:p>
      <w:r>
        <w:t>Описание объекта закупки в соответствии с требованиями, указанными в части 1 настоящей статьи, должно содержать показатели, позволяющие определить соответствие закупаемых товара, работы, услуги установленным заказчиком требованиям. При этом указываются максимальные и (или) минимальные значения таких показателей и (или) значения показателей, которые не могут изменяться (ч. 2 ст. 33 Закона о контрактной системе).</w:t>
      </w:r>
    </w:p>
    <w:p>
      <w:r>
        <w:t>В соответствии с ч. 1.1 ст. 33 Закона о контрактной системе при описании являющегося объектом закупки товара (в том числе поставляемого при выполнении закупаемой работы, оказании закупаемой услуги), в отношении которого установлены предусмотренные пунктом 1 части 2 статьи 14 настоящего Федерального закона запрет, ограничение или преимущество, указываются характеристики товара российского происхождения.</w:t>
      </w:r>
    </w:p>
    <w:p>
      <w:r>
        <w:t>Таким образом, описание объекта закупки устанавливается заказчиком самостоятельно, исходя из его потребностей, а также в соответствии с обязательными требованиями к описанию объекта закупки, предусмотренными ст. 33 Закона о контрактной системе.</w:t>
      </w:r>
    </w:p>
    <w:p>
      <w:r>
        <w:t>Контракт заключается на условиях, предусмотренных извещением об осуществлении закупки или приглашением, документацией о закупке, заявкой участника закупки, с которым заключается контракт, за исключением случаев, в которых в соответствии с настоящим Федеральным законом извещение об осуществлении закупки или приглашение, документация о закупке, заявка не предусмотрены. В случае, предусмотренном частью 24 статьи 22 настоящего Федерального закона, контракт должен содержать порядок определения количества поставляемого товара, объема выполняемой работы, оказываемой услуги на основании заявок заказчика (ч. 1 ст. 34 Закона о контрактной системе).</w:t>
      </w:r>
    </w:p>
    <w:p>
      <w:r>
        <w:t>Согласно структурированной форме извещения, описанием объекта закупки является: «Поставка серверов».</w:t>
      </w:r>
    </w:p>
    <w:p>
      <w:r>
        <w:t>Для целей осуществления указанной закупочной процедуры, Заказчиком определен код ОКПД2 26.20.14.100 - Серверы.</w:t>
      </w:r>
    </w:p>
    <w:p>
      <w:r>
        <w:t>Согласно ч. 6 ст. 23 Закона о контрактной системе порядок формирования и ведения в единой информационной системе каталога товаров, работ, услуг для обеспечения государственных и муниципальных нужд, а также правила использования указанного каталога устанавливаются Правительством Российской Федерации.</w:t>
      </w:r>
    </w:p>
    <w:p>
      <w:r>
        <w:t>Постановлением Правительства № 145 утверждены Правила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Правила использования каталога товаров, работ, услуг для обеспечения государственных и муниципальных нужд (далее – Правила).</w:t>
      </w:r>
    </w:p>
    <w:p>
      <w:r>
        <w:t>Согласно пп. «б» п. 2 Правил каталог используется заказчиками в целях, в том числе:</w:t>
      </w:r>
    </w:p>
    <w:p>
      <w:r>
        <w:t>б) описания объектов закупки, которое включается в извещение об осуществлении закупки, приглашение и документацию о закупке (в случае если Федеральным законом предусмотрена документация о закупке);</w:t>
      </w:r>
    </w:p>
    <w:p>
      <w:r>
        <w:t>В соответствии с п. 4 Правил Заказчики обязаны применять информацию, включенную в позицию каталога в соответствии с подпунктами «а» - «г» и «е» - «з» пункта 10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утвержденных постановлением Правительства Российской Федерации от 8 февраля 2017 г. N 145 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нужд», с указанной в ней даты начала обязательного применения. При этом заказчик обязан при осуществлении закупки использовать информацию, включенную в соответствующую позицию, в том числе указывать согласно такой позиции следующую информацию:</w:t>
      </w:r>
    </w:p>
    <w:p>
      <w:r>
        <w:t>а) наименование товара, работы, услуги;</w:t>
      </w:r>
    </w:p>
    <w:p>
      <w:r>
        <w:t>б) единицы измерения количества товара, объема выполняемой работы, оказываемой услуги (при наличии);</w:t>
      </w:r>
    </w:p>
    <w:p>
      <w:r>
        <w:t>в) описание товара, работы, услуги (при наличии такого описания в позиции).</w:t>
      </w:r>
    </w:p>
    <w:p>
      <w:r>
        <w:t>Согласно п. 5 Правил Заказчик вправе указать в извещении об осуществлении закупки, приглашении и документации о закупке (в случае если Федеральным законом предусмотрена документация о закупке) дополнительную информацию, а также дополнительные потребительские свойства, в том числе функциональные, технические, качественные, эксплуатационные характеристики товара, работы, услуги в соответствии с положениями статьи 33 Федерального закона, которые не предусмотрены в позиции каталога, за исключением случаев:</w:t>
      </w:r>
    </w:p>
    <w:p>
      <w:r>
        <w:t>а) если при осуществлении закупки товара (в том числе поставляемого при выполнении закупаемых работ, оказании закупаемых услуг), указанного в позициях 25, 26 и 32 приложения № 1 к постановлению Правительства Российской Федерации от 23 декабря 2024 г.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лиц», позициях 191 - 361 приложения № 2 к указанному постановлению, применяются предусмотренные пунктом 1 указанного постановления запрет, ограничение соответственно;</w:t>
      </w:r>
    </w:p>
    <w:p>
      <w:r>
        <w:t>б) если иное не предусмотрено особенностями описания отдельных видов объектов закупок, устанавливаемыми Правительством Российской Федерации в соответствии с частью 5 статьи 33 Федерального закона.</w:t>
      </w:r>
    </w:p>
    <w:p>
      <w:r>
        <w:t>Согласно п. 6 Правил в случае предоставления дополнительной информации, предусмотренной пунктом 5 настоящих Правил, заказчик обязан включить в описание товара, работы, услуги обоснование необходимости использования такой информации (при наличии описания товара, работы, услуги в позиции каталога).</w:t>
      </w:r>
    </w:p>
    <w:p>
      <w:r>
        <w:t>В соответствии с п. 7 Правил в случае осуществления закупки товара, работы, услуги, в отношении которых в каталоге отсутствуют соответствующие позиции, заказчик осуществляет описание товара, работы, услуги в соответствии с требованиями статьи 33 Федерального закона. При проведении предусмотренных Федеральным законом электронных процедур, закрытых электронных процедур характеристики объекта закупки, предусмотренные пунктом 1 части 1 статьи 33 Федерального закона, указываются с использованием единой информационной системы при формировании извещения об осуществлении закупки, приглашения принять участие в определении поставщика (подрядчика, исполнителя) в соответствии с частью 1 статьи 42, пунктом 1 части 1 статьи 75 Федерального закона соответственно.</w:t>
      </w:r>
    </w:p>
    <w:p>
      <w:r>
        <w:t>Комиссией установлено, что код ОКПД2 26.20.14.100 – Серверы, установленный Заказчиком относится к позиции 198 Приложения № 2 Постановления Правительства № 1875, на которую устанавливается ограничение.</w:t>
      </w:r>
    </w:p>
    <w:p>
      <w:r>
        <w:t>В соответствии с подпунктом «а» пункта 5 Правил использования каталога товаров, работ, услуг для обеспечения государственных и муниципальных нужд, утвержденных постановлением Правительства Российской Федерации от 8 февраля 2017 № 145 (далее - каталог), запрет на указание заказчиком дополнительных характеристик, которые не предусмотрены позицией каталога, установлен в том числе для случая закупки радиоэлектронной продукции, включенной в перечень радиоэлектронной продукции, происходящей из иностранных государств, в отношении которой устанавливаются ограничения для целей осуществления закупок для обеспечения государственных и муниципальных нужд, утвержденный постановлением № 878 (далее - Перечень).</w:t>
      </w:r>
    </w:p>
    <w:p>
      <w:r>
        <w:t>Таким образом, критериями для запрета на указание заказчиком дополнительных характеристик выступают установление ограничения на допуск иностранной продукции в рамках соответствующего механизма постановления № 878, а также в случае такого установления - наличие в позиции каталога характеристик (то есть позиция должна быть представлена в каталоге с описанием).</w:t>
      </w:r>
    </w:p>
    <w:p>
      <w:r>
        <w:t>Комиссией установлено, что Заказчиком использована позиция КТРУ «26.20.14.000-00000189 Сервер». Примененная позиция КТРУ содержит характеристики товара, установленные Заказчиками в описании объектов закупки.</w:t>
      </w:r>
    </w:p>
    <w:p>
      <w:r>
        <w:t>Кроме того, при установлении требований к качественным, техническим и функциональным показателям Заказчик также руководствуется собственными потребностями и спецификой деятельности учреждения.</w:t>
      </w:r>
    </w:p>
    <w:p>
      <w:r>
        <w:t>Согласно доводам Заявителя, указано следующее:</w:t>
      </w:r>
    </w:p>
    <w:p>
      <w:r>
        <w:t>В проекте контракта установлены дополнительные характеристики товара, которые запрещено устанавливать при применении ограничения по Постановлению Правительства РФ № 1875.</w:t>
      </w:r>
    </w:p>
    <w:p>
      <w:r>
        <w:t>Разъяснения положений извещения фактически изменяют либо переопределяют обязательные условия проекта контракта, однако соответствующие изменения в извещение не внесены.</w:t>
      </w:r>
    </w:p>
    <w:p>
      <w:r>
        <w:t>В обоснованиях НМЦК двух заказчиков содержатся арифметические и расчетные несоответствия, не позволяющие проверить опубликованный расчет.</w:t>
      </w:r>
    </w:p>
    <w:p>
      <w:r>
        <w:t>1. Относительно первого довода, представители Заказчиков пояснили, что требования к товару установили исходя из их потребностей, а также в соответствии с обязательными требованиями к описанию объекта закупки.</w:t>
      </w:r>
    </w:p>
    <w:p>
      <w:r>
        <w:t>В силу п. 1 ч. 2 ст. 42 Закона о контрактной системе извещение об осуществлении закупки, если иное не предусмотрено Законом о контрактной системе, должно содержать, в том числе, описание объекта закупки в соответствии со ст. 33 Закона о контрактной системе.</w:t>
      </w:r>
    </w:p>
    <w:p>
      <w:r>
        <w:t>Ч.1 ст. 33 Закона о контрактной системе установлено, что Заказчик в случаях, предусмотренных Законом о контрактной системе, при описании объекта закупки должен руководствоваться следующими правилами:</w:t>
      </w:r>
    </w:p>
    <w:p>
      <w:r>
        <w:t>1)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в следующих случаях:</w:t>
      </w:r>
    </w:p>
    <w:p>
      <w:r>
        <w:t>а) сопровождение такого указания словами «или эквивалент»;</w:t>
      </w:r>
    </w:p>
    <w:p>
      <w:r>
        <w:t>б) несовместимость товаров, на которых размещаются другие товарные знаки, и необходимость обеспечения взаимодействия таких товаров с товарами, используемыми заказчиком;</w:t>
      </w:r>
    </w:p>
    <w:p>
      <w:r>
        <w:t>в) осуществление закупки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оборудование;</w:t>
      </w:r>
    </w:p>
    <w:p>
      <w:r>
        <w:t>г) осуществление закупки медицинских изделий, специализированных продуктов лечебного питания, необходимых для назначения пациенту по медицинским показаниям (индивидуальная непереносимость, по жизненным показаниям) по решению врачебной комиссии, которое фиксируется в медицинской документации пациента и журнале врачебной комиссии. Перечень указанных медицинских изделий, специализированных продуктов лечебного питания и порядок его формирования утверждаются Правительством Российской Федерации;</w:t>
      </w:r>
    </w:p>
    <w:p>
      <w:r>
        <w:t>2) использование при составлении описания объекта закупки показателей, требований, условных обозначений и терминологии, касающихся технических характеристик, функциональных характеристик (потребительских свойств) товара, работы, услуги и качественных характеристик объекта закупки, которые предусмотрены техническими регламентами, принятыми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иных требований, связанных с определением соответствия поставляемого товара, выполняемой работы, оказываемой услуги потребностям заказчика.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регулировании, законодательством Российской Федерации о стандартизации показатели, требования, условные обозначения и терминология, в таком описании должно содержаться обоснование необходимости использования других показателей, требований, условных обозначений и терминологии.</w:t>
      </w:r>
    </w:p>
    <w:p>
      <w:r>
        <w:t>Согласно ч. 2 ст. 33 Закона о контрактной системе описание объекта закупки в соответствии с требованиями, указанными в ч. 1 ст.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 При этом указываются максимальные и (или) минимальные значения таких показателей и (или) значения показателей, которые не могут изменяться.</w:t>
      </w:r>
    </w:p>
    <w:p>
      <w:r>
        <w:t>Комиссией установлено, что проектах контрактов, размещенных в составе извещения в соответствии с п. 5 ч. 2 ст.42 Закона о контрактной системе, указано следующее:</w:t>
      </w:r>
    </w:p>
    <w:p>
      <w:r>
        <w:t>«Поставляемая техника должна функционировать при следующих условиях: параметры электропитания устройств подключаемых к сети (220 V +10% /- 15%, 50 Hz +/- 1 Hz); температура окружающей среды от +5°С до +40°C; относительная влажность окружающей среды — от 5 % до 80 %. В воздухе помещения, где производится хранение, не должно присутствовать агрессивных примесей (паров кислот, щелочей).</w:t>
      </w:r>
    </w:p>
    <w:p>
      <w:r>
        <w:t>Гарантийный срок Поставщика исчисляется с момента подписания документа о приемки и составляет не менее 36 месяцев. Гарантия предоставляется вместе с товаром.</w:t>
      </w:r>
    </w:p>
    <w:p>
      <w:r>
        <w:t>Срок службы техники должен составлять не менее 3 лет, что должно быть отражено в Технических Условиях.</w:t>
      </w:r>
    </w:p>
    <w:p>
      <w:r>
        <w:t>Требования к году (месяцу) изготовления товара: год изготовления Товара – не ранее 2025 года»</w:t>
      </w:r>
    </w:p>
    <w:p>
      <w:r>
        <w:t>Комиссией установлено, что данные требования к характеристикам товара установлены в нарушение пп. «а» п. 5 Правил использования каталога товаров, работ, услуг для обеспечения государственных и муниципальных нужд, утвержденных постановлением Правительства Российской Федерации от 8 февраля 2017 № 145.</w:t>
      </w:r>
    </w:p>
    <w:p>
      <w:r>
        <w:t>Комиссия отмечает, что, вопреки пояснениям представителя Заказчика, спорные требования относятся к подвиду качественных характеристик изделия и определяет возможность предложения к поставке тех или иных изделий в зависимости от года производства изделия, срока его службы, а также эксплуатационных характеристик.</w:t>
      </w:r>
    </w:p>
    <w:p>
      <w:r>
        <w:t>Вместе с этим, как установлено Комиссией Управления, соответствующее требование к характеристикам изделия отсутствует в структурированной форме извещения.</w:t>
      </w:r>
    </w:p>
    <w:p>
      <w:pPr>
        <w:pStyle w:val="Heading2"/>
      </w:pPr>
      <w:r>
        <w:t>мотивировочная часть</w:t>
      </w:r>
    </w:p>
    <w:p>
      <w:r>
        <w:t>На основании вышеизложенного, Комиссия Управления приходит к выводу о нарушении Заказчиком положений ч. 6 ст. 23, п. 1 ч. 1 ст. 33, п. 5 ч. 1 ст. 42 Закона о контрактной системе, что содержит признаки состава административного правонарушения, ответственность за которое предусмотрена ч. 5 ст. 7.30.1 Кодекса Российской Федерации об административных правонарушениях.</w:t>
      </w:r>
    </w:p>
    <w:p>
      <w:r>
        <w:t>2. В соответствии с ч. 5 ст. 42 Закона о контрактной системе, любой участник закупки, зарегистрированный в единой информационной системе, вправе направить с использованием электронной площадки заказчику не более чем три запроса о даче разъяснений положений извещения об осуществлении закупки при проведении электронного конкурса и электронного аукциона не позднее чем за три дня до окончания срока подачи заявок на участие в закупке. Не позднее одного часа с момента поступления такого запроса оператор электронной площадки направляет его с использованием электронной площадки заказчику. Не позднее двух дней со дня, следующего за днем поступления заказчику запроса о даче разъяснения положений извещения об осуществлении закупки,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разъяснение положений извещения об осуществлении закупки с указанием предмета запроса, но без указания участника закупки, от которого поступил такой запрос. Такие разъяснения не должны изменять суть извещения об осуществлении закупки.</w:t>
      </w:r>
    </w:p>
    <w:p>
      <w:r>
        <w:t>Возражая против второго довода жалобы, представители Заказчиков пояснили, что в рассматриваемом случае ответы Заказчика были направлены на раскрытие содержания уже установленных в извещении требований и устранение возможной неоднозначности их понимания.</w:t>
      </w:r>
    </w:p>
    <w:p>
      <w:r>
        <w:t>В частности, разъяснение относительно:</w:t>
      </w:r>
    </w:p>
    <w:p>
      <w:r>
        <w:t>документов, подтверждающих качество товара;</w:t>
      </w:r>
    </w:p>
    <w:p>
      <w:r>
        <w:t>сертификатов и деклараций, если их наличие предусмотрено законодательством;</w:t>
      </w:r>
    </w:p>
    <w:p>
      <w:r>
        <w:t>комплектности товара;</w:t>
      </w:r>
    </w:p>
    <w:p>
      <w:r>
        <w:t>наличия необходимых компонентов и кабелей;</w:t>
      </w:r>
    </w:p>
    <w:p>
      <w:r>
        <w:t>не вводило самостоятельных новых характеристик товара и не изменяло предмет закупки. Разъяснения лишь определяли порядок понимания уже содержащихся в извещении положений. Само по себе уточнение порядка документального подтверждения соответствия товара установленным требованиям не является изменением объекта закупки.</w:t>
      </w:r>
    </w:p>
    <w:p>
      <w:r>
        <w:t>При этом Заказчиками не устанавливались посредством разъяснений новые требования к техническим характеристикам товара, которые отсутствовали в первоначальном извещении.</w:t>
      </w:r>
    </w:p>
    <w:p>
      <w:r>
        <w:t>Таким образом, Комиссия приходит к выводу, что в ответе на запрос разъяснений заказчик не устанавливал дополнительных требований к товару, а лишь обосновал необходимость поставки сервера, в связи с чем довод заявителя жалобы в этой части признан необоснованным.</w:t>
      </w:r>
    </w:p>
    <w:p>
      <w:r>
        <w:t>3. Относительно третьего довода, представители Заказчиков пояснили, что наличие арифметической неточности в отдельном промежуточном показателе само по себе не свидетельствует о незаконности определения НМЦК, если расчет основан на фактически полученной ценовой информации и итоговая НМЦК определена в соответствии с примененным методом.</w:t>
      </w:r>
    </w:p>
    <w:p>
      <w:r>
        <w:t>Комиссия отмечает, что в случае, если Заявитель считает, что в действиях конкретных хозяйствующих субъектов содержатся признаки нарушения антимонопольного законодательства, Заявитель вправе подать соответствующее заявление в антимонопольный орган с учетом требований частей 1 и 2 ст. 44 Закона о защите конкуренции, а также Приказа ФАС России от 25.05.2012 № 339 «Об утверждении административного регламента Федеральной антимонопольной службы по исполнению государственной функции по возбуждению и рассмотрению дел нарушениях антимонопольного законодательства Российской Федерации».</w:t>
      </w:r>
    </w:p>
    <w:p>
      <w:r>
        <w:t>При проведении внеплановой проверки нарушений Закона о контрактной системе в действиях субъектов контроля не установлено. Вместе с тем, в части указания Заявителем на признаки нарушения Закона о контрактной системе при обосновании начальной (максимальной) цены контракта, Комиссия передает доводы в орган внутреннего государственного финансового контроля.</w:t>
      </w:r>
    </w:p>
    <w:p>
      <w:r>
        <w:t>На основании вышеизложенного и руководствуясь статьей 99 Закона о контрактной системе, частью 8 статьи 106 Закона о контрактной системе, Комиссия,</w:t>
      </w:r>
    </w:p>
    <w:p>
      <w:pPr>
        <w:pStyle w:val="Heading2"/>
      </w:pPr>
      <w:r>
        <w:t>резолютивная часть</w:t>
      </w:r>
    </w:p>
    <w:p>
      <w:r>
        <w:t>Р Е Ш И Л А:</w:t>
      </w:r>
    </w:p>
    <w:p>
      <w:r>
        <w:t>Жалобу ООО «КОМПАНИЯ СОВРЕМЕННЫЕ РЕШЕНИЯ» признать обоснованной.</w:t>
      </w:r>
    </w:p>
    <w:p>
      <w:r>
        <w:t>В действиях закупочной комиссии нарушений Закона о контрактной системе не выявлено.</w:t>
      </w:r>
    </w:p>
    <w:p>
      <w:r>
        <w:t>В действиях Заказчиков выявлено нарушение п.5 ч. 2 ст. 42, п. п. 1, 2 ч. 1 ст. 33, ч. 6 ст. 23 Закона о контрактной системе.</w:t>
      </w:r>
    </w:p>
    <w:p>
      <w:r>
        <w:t>Заказчикам, закупочной комиссии выдать предписание об устранении нарушений законодательства о контрактной системе.</w:t>
      </w:r>
    </w:p>
    <w:p>
      <w:r>
        <w:t>Обязать заказчиков обеспечить явку должностного лица, ответственного за размещение извещения по закупке № 0162200011826003030, с документами, закрепляющими за данными лицами служебную обязанность по совершению таких действий на составление протокола об административном правонарушении по адресу: г. Екатеринбург, ул. 8 марта,5/Химиков, 3, 4 этаж с объяснением по факту выявленного нарушения 23 ноября 2026 г. в 10.00, а также в срок до 20 ноября 2026 г. представить в адрес Свердловского УФАС России по адресу электронной почты to66@fas.gov.ru:</w:t>
      </w:r>
    </w:p>
    <w:p>
      <w:r>
        <w:t>- письменные пояснения указанного должностного лица по факту административных правонарушений, предусмотренных ч. 5 ст. 7.30.1 КоАП РФ;</w:t>
      </w:r>
    </w:p>
    <w:p>
      <w:r>
        <w:t>- копию паспорта (разворот страниц с серией/номером, датой выдачи, фотографией, адресом регистрации);</w:t>
      </w:r>
    </w:p>
    <w:p>
      <w:r>
        <w:t>- копию должностной инструкции и приказа о назначении на должность, закрепляющие за данным лицом служебную обязанность по совершению таких действий;</w:t>
      </w:r>
    </w:p>
    <w:p>
      <w:r>
        <w:t>- иные документы и сведения, имеющие значение для рассмотрения дела об административном правонарушении.</w:t>
      </w:r>
    </w:p>
    <w:p>
      <w:r>
        <w:t>Для оперативности ответ следует направить на электронную почту Управления (to66@fas.gov.ru). В ответе, просьба, ссылаться на исходящий номер документа Свердловского УФАС России. Копии документов должны быть заверены надлежащим образом, направлены с приложением сопроводительного письма (с указанием перечня прилагаемых документов, количества листов и экземпляров). В случае невозможности представления каких-либо перечисленных документов и сведений, необходимо представить письменные объяснения о причинах такого отсутствия.</w:t>
      </w:r>
    </w:p>
    <w:p>
      <w:r>
        <w:t>В случае явки защитника (ст. 25.5 КоАП РФ), обязательно наличие доверенности (от имени лица, в отношении которого составляется протокол).</w:t>
      </w:r>
    </w:p>
    <w:p>
      <w:r>
        <w:t>В соответствии с ч. 4.1. ст. 28.2 КоАП РФ в случае неявки физического лица, или законного представителя физического лица, в отношении которых ведется производство по делу об административном правонарушении, если они извещены в установленном порядке, протокол.</w:t>
      </w:r>
    </w:p>
    <w:p>
      <w:r>
        <w:t>Передать жалобу ООО «КОМПАНИЯ СОВРЕМЕННЫЕ РЕШЕНИЯ» в части доводов о нарушении Заказчиками Закона о контрактной системе при обосновании начальной (максимальной) цены контракта в органы внутреннего финансового контроля.</w:t>
      </w:r>
    </w:p>
    <w:p>
      <w:r>
        <w:t>Настоящее решение может быть обжаловано в судебном порядке в течение трех месяцев со дня его принятия.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Председатель Комиссии</w:t>
              <w:br/>
              <w:t>Члены Комиссии</w:t>
            </w:r>
          </w:p>
        </w:tc>
        <w:tc>
          <w:tcPr>
            <w:tcW w:type="dxa" w:w="4320"/>
          </w:tcPr>
          <w:p>
            <w:r>
              <w:t>*</w:t>
              <w:br/>
              <w:t>*</w:t>
            </w:r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*</w:t>
            </w:r>
          </w:p>
        </w:tc>
      </w:tr>
    </w:tbl>
    <w:p>
      <w:r>
        <w:t>УПРАВЛЕНИЕ ФЕДЕРАЛЬНОЙ АНТИМОНОПОЛЬНОЙ СЛУЖБЫ</w:t>
      </w:r>
    </w:p>
    <w:p>
      <w:r>
        <w:t>ПО СВЕРДЛОВСКОЙ ОБЛАСТИ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ПРЕДПИСАНИЕ</w:t>
              <w:br/>
              <w:t>по жалобе № 066/06/105-2493/2026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г. Екатеринбург</w:t>
            </w:r>
          </w:p>
        </w:tc>
        <w:tc>
          <w:tcPr>
            <w:tcW w:type="dxa" w:w="4320"/>
          </w:tcPr>
          <w:p>
            <w:r>
              <w:t>28.09.2026 г.</w:t>
            </w:r>
          </w:p>
        </w:tc>
      </w:tr>
    </w:tbl>
    <w:p>
      <w:r>
        <w:t>Комиссия Управления Федеральной антимонопольной службы по Свердловской области по контролю в сфере закупок</w:t>
      </w:r>
    </w:p>
    <w:p>
      <w:r>
        <w:t>***,</w:t>
      </w:r>
    </w:p>
    <w:p>
      <w:r>
        <w:t>на основании своего решения № 066/06/105-2493/2026 от 28.09.2026, руководствуясь п. 2 ч. 22 ст. 99 Закона о контрактной системе,</w:t>
      </w:r>
    </w:p>
    <w:p>
      <w:r>
        <w:t>ПРЕДПИСЫВАЕТ:</w:t>
      </w:r>
    </w:p>
    <w:p>
      <w:r>
        <w:t>1. Заказчикам в срок до 05.11.2026 устранить нарушения Закона о контрактной системе, установленные решением 066/06/105-2493/2026 от 28.09.2026, путем отзыва карточки контракта, отмены протоколов, составленных в ходе проведения закупки, внесения изменений в извещение в части устранения выявленных нарушений, продления срока подачи заявок на участие в закупке и завершения процедуры проведения закупки в соответствии с требованиями Закона о контрактной системе.</w:t>
      </w:r>
    </w:p>
    <w:p>
      <w:r>
        <w:t>2. Оператору электронной торговой площадки обеспечить исполнение пункта 1 настоящего предписания.</w:t>
      </w:r>
    </w:p>
    <w:p>
      <w:r>
        <w:t>3. Заказчикам в срок до 14.11.2026 представить в Свердловское УФАС России копию документа, подтверждающего выполнение пункта 1 настоящего предписания, в том числе посредством факсимильной связи: (343) 377¬00-84 или на адрес электронной почты: to66@fas.gov.ru.</w:t>
      </w:r>
    </w:p>
    <w:p>
      <w:r>
        <w:t>Комиссия Свердловского УФАС России обращает внимание, что частью 7 статьи 19.5 Кодекса Российской Федерации об административных правонарушениях за невыполнение в Настоящее Предписание может быть обжаловано в судебном порядке в течение трех месяцев со дня его вынесения.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Председатель Комиссии</w:t>
              <w:br/>
              <w:t>Члены Комиссии</w:t>
            </w:r>
          </w:p>
        </w:tc>
        <w:tc>
          <w:tcPr>
            <w:tcW w:type="dxa" w:w="4320"/>
          </w:tcPr>
          <w:p>
            <w:r>
              <w:t>*</w:t>
              <w:br/>
              <w:t>*</w:t>
              <w:br/>
              <w:t>*</w:t>
            </w:r>
          </w:p>
        </w:tc>
      </w:tr>
    </w:tbl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