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202600187297000465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10.03.2026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0372100042026000001</w:t>
      </w:r>
    </w:p>
    <w:p>
      <w:r>
        <w:rPr>
          <w:b/>
        </w:rPr>
        <w:t xml:space="preserve">Заказчик: </w:t>
      </w:r>
      <w:r>
        <w:t>Федеральное государственное бюджетное профессиональное образовательное учреждение «Санкт-Петербургский медико-технический колледж федерального медико-биологического агентства»</w:t>
      </w:r>
    </w:p>
    <w:p>
      <w:r>
        <w:rPr>
          <w:b/>
        </w:rPr>
        <w:t xml:space="preserve">Заявитель: </w:t>
      </w:r>
      <w:r>
        <w:t>ООО «СТОУН»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https://zakupki.gov.ru/epz/complaint/card/complaint-information.html?complaintNumber=202600187297000465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ФЕДЕРАЛЬНОЕ ГОСУДАРСТВЕННОЕ БЮДЖЕТНОЕ ПРОФЕССИОНАЛЬНОЕ ОБРАЗОВАТЕЛЬНОЕ УЧРЕЖДЕНИЕ "САНКТ-ПЕТЕРБУРГСКИЙ МЕДИКО-ТЕХНИЧЕСКИЙ КОЛЛЕДЖ ФЕДЕРАЛЬНОГО МЕДИКО-БИОЛОГИЧЕСКОГО АГЕНТСТВА"</w:t>
              <w:br/>
              <w:t>Российская Федерация, 190005, Санкт-Петербург, УЛ. 12-Я КРАСНОАРМЕЙСКАЯ, Д.2/23А</w:t>
              <w:br/>
              <w:t>ООО "СТОУН"</w:t>
              <w:br/>
              <w:t>630024, НОВОСИБИРСКАЯ ОБЛАСТЬ, Г. НОВОСИБИРСК, УЛ. БЕЛОВЕЖСКАЯ, Д. 2/1, ОФИС 110</w:t>
            </w:r>
          </w:p>
        </w:tc>
      </w:tr>
    </w:tbl>
    <w:p>
      <w:r>
        <w:t>РЕШЕНИЕ</w:t>
      </w:r>
    </w:p>
    <w:p>
      <w:r>
        <w:t>по делу № 078/06/105-662/2026 о нарушении законодательства о контрактной системе</w:t>
      </w:r>
    </w:p>
    <w:p>
      <w:r>
        <w:t>10.03.2026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представителя ФЕДЕРАЛЬНОЕ ГОСУДАРСТВЕННОЕ БЮДЖЕТНОЕ ПРОФЕССИОНАЛЬНОЕ ОБРАЗОВАТЕЛЬНОЕ УЧРЕЖДЕНИЕ "САНКТ-ПЕТЕРБУРГСКИЙ МЕДИКО-ТЕХНИЧЕСКИЙ КОЛЛЕДЖ ФЕДЕРАЛЬНОГО МЕДИКО-БИОЛОГИЧЕСКОГО АГЕНТСТВА" (далее – Заказчик):,</w:t>
      </w:r>
    </w:p>
    <w:p>
      <w:r>
        <w:t>в отсутствие представителей ООО «СТОУН» (далее – Заявитель) уведомленных о заседании Комиссии УФАС,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4532/26 от 04.03.2026) на действия ФГБПОУ СПБ МТК ФМБА РОССИИ, (далее – Заказчик), при определении (подрядчика, исполнителя) путем проведения закупки на поставку программно-аппаратного комплекса (извещение № 0372100042026000001)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24.02.2026 на Официальном сайте Единой информационной системы в сфере закупок www.zakupki.gov.ru (далее – ЕИС), номер извещения 0372100042026000001. Начальная (максимальная) цена контракта – 10 324 609, 34 рублей.</w:t>
      </w:r>
    </w:p>
    <w:p>
      <w:r>
        <w:t>В своей жалобе Заявитель оспаривает положения закупочной документации, полагая, что при формировании описания объекта закупки Заказчиком допущены нарушения норм законодательства о контрактной системе. В частности, Заявитель указывает на то, что в отношении отдельных товаров, входящих в состав комплексной позиции, Заказчиком не были применены обязательные сведения, содержащиеся в каталоге товаров, работ, услуг (КТРУ), несмотря на то, что соответствующие позиции подлежат применению.</w:t>
      </w:r>
    </w:p>
    <w:p>
      <w:r>
        <w:t>Заказчик с доводами Заявителя не согласился по основаниям, изложенным в письменных возражениях на жалобу.</w:t>
      </w:r>
    </w:p>
    <w:p>
      <w:r>
        <w:t>Комиссия УФАС, ознакомившись с представленными документами и информацией, в том числе, содержащейся в ЕИС, заслушав пояснения Заказчика, приходит к следующим выводам</w:t>
      </w:r>
    </w:p>
    <w:p>
      <w:r>
        <w:t>1. Согласно п. 5 ч. 1 ст. 42 Закона о контрактной системе,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наименование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ч. 6 ст.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силу ч. 6 ст. 23 Закона о контрактной системе,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Правила использования каталога товаров, работ, услуг для обеспечения государственных и муниципальных нужд (далее – Правила использования КТРУ) установлены Постановлением Правительства РФ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нужд».</w:t>
      </w:r>
    </w:p>
    <w:p>
      <w:r>
        <w:t>Пунктом 3 Правил использования КТРУ установлено, что заказчики вправе применять информацию, которая включена в позицию каталога, с даты ее включения в каталог независимо от даты обязательного ее применения в соответствии с п. 18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г.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нужд».</w:t>
      </w:r>
    </w:p>
    <w:p>
      <w:r>
        <w:t>Согласно п. 4 Правил использования КТРУ, заказчики обязаны применять информацию, включенную в позицию каталога в соответствии с подпунктами «б» - «г» и «е» - «з» п.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№ 145,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Пунктами 5-6 Правил использования КТРУ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случае предоставления дополнительной информации, предусмотренной п.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КТРУ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ст. 33 Федерального закона. При проведении предусмотренных Федеральным законом электронных процедур, закрытых электронных процедур характеристики объекта закупки, предусмотренные п. 1 ч. 1 ст. 33 Федерального закона,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ч. 1 ст. 42, п. 1 ч. 1 ст. 75 Федерального закона соответственно.</w:t>
      </w:r>
    </w:p>
    <w:p>
      <w:r>
        <w:t>Также в п. 8 Правил использования КТРУ установлено, что при включении в состав одного лота (одного товара, работы, услуги) нескольких товаров, работ, услуг, на которые в каталоге имеются подлежащие применению позиции каталога и на которые в каталоге отсутствуют соответствующие позиции, заказчик руководствуется требованиями настоящих Правил в отношении каждого такого товара, работы услуги, на которые в каталоге имеется подлежащая применению позиция.</w:t>
      </w:r>
    </w:p>
    <w:p>
      <w:r>
        <w:t>Таким образом, в соответствии с пунктом 5 части 1 статьи 42 и частью 6 статьи 23 Закона о контрактной системе, заказчик при формировании извещения о закупке обязан использовать сведения, содержащиеся в каталоге товаров, работ, услуг (КТРУ), в том числе наименование товара, единицу измерения и описание, если они содержатся в соответствующей позиции каталога. Порядок применения КТРУ установлен Правилами, утверждёнными постановлением Правительства Российской Федерации от 08.02.2017 № 145.</w:t>
      </w:r>
    </w:p>
    <w:p>
      <w:r>
        <w:t>Из материалов дела следует, что Заказчиком при описании отдельных товаров, входящих в состав закупочной позиции, в частности, «рабочей станции», фактически были предусмотрены характеристики, соответствующие таким товарам, как монитор, клавиатура и мышь, которые в соответствии с Общероссийским классификатором продукции по видам экономической деятельности имеют самостоятельные коды и отражены в действующем КТРУ. В частности, речь идёт о кодах:</w:t>
      </w:r>
    </w:p>
    <w:p>
      <w:r>
        <w:t>26.20.14.000-00000189 — Сервер;</w:t>
      </w:r>
    </w:p>
    <w:p>
      <w:r>
        <w:t>26.20.40.110-00000001 — Источник бесперебойного питания;</w:t>
      </w:r>
    </w:p>
    <w:p>
      <w:r>
        <w:t>26.30.11.110-00000041 — Коммутатор;</w:t>
      </w:r>
    </w:p>
    <w:p>
      <w:r>
        <w:t>26.30.30.000-00000010 — Шкаф телекоммуникационный;</w:t>
      </w:r>
    </w:p>
    <w:p>
      <w:r>
        <w:t>27.33.13.190-00000001 — Блок розеток.</w:t>
      </w:r>
    </w:p>
    <w:p>
      <w:r>
        <w:t>Вместе с тем, в рассматриваемой закупке Заказчик при установлении требований к вышеуказанным изделиям не применил соответствующие коды КТРУ и допустил самостоятельное определение характеристик, включая, в частности, параметры, что не соответствует закреплённому Законом порядку формирования описания объекта закупки.</w:t>
      </w:r>
    </w:p>
    <w:p>
      <w:r>
        <w:t>Следует особо подчеркнуть, что в условиях действия ограничений, установленных в рамках национального режима, Заказчик не вправе формировать описание объекта закупки с использованием требований, не предусмотренных КТРУ, если в отношении закупаемого товара утверждена и подлежит применению позиция каталога. Любое отступление от обязательных характеристик, установленных КТРУ в данном случае представляет собой нарушение порядка формирования извещения и препятствует обеспечению равного доступа к участию в закупке, особенно для поставщиков, ориентированных на продукцию отечественного происхождения.</w:t>
      </w:r>
    </w:p>
    <w:p>
      <w:r>
        <w:t>Таким образом, действия Заказчика при составлении извещения и документации о закупке нарушают положения пункт 5 части 1 статьи 42, части 6 статьи 23 Закона о контрактной системе.</w:t>
      </w:r>
    </w:p>
    <w:p>
      <w:r>
        <w:t>2. Довод Заявителя о нарушении национального режима вследствие объединения в один лот товаров, часть из которых, по утверждению Заявителя, присутствует в реестре Минпромторга, а часть отсутствует, Комиссия УФАС признает необоснованным.</w:t>
      </w:r>
    </w:p>
    <w:p>
      <w:r>
        <w:t>Применение национального режима и соответствующих ограничений/условий допуска оценивается исходя из предмета закупки, установленных Заказчиком требований и правил, действующих в отношении конкретных товаров и кодов ОКПД2, а также условий применимости запретов/ограничений/преимуществ.</w:t>
      </w:r>
    </w:p>
    <w:p>
      <w:r>
        <w:t>Заявитель в подтверждение довода фактически ограничивается общим утверждением о том, что объединение «подрывает развитие цифрового суверенитета» и «не дает возможности воспользоваться преференциями», но не приводит юридически значимых обстоятельств, позволяющих установить, что Заказчик был обязан разделить закупку на лоты именно по критерию наличия/отсутствия товара в соответствующем реестре либо что применимые нормы национального режима прямо запрещали формирование рассматриваемого лота в заявленном составе.</w:t>
      </w:r>
    </w:p>
    <w:p>
      <w:r>
        <w:t>3. Выявленные в действиях Заказчика нарушения являются существенными, что дает основание для выдачи обязательного для исполнения предписания об их устранении.</w:t>
      </w:r>
    </w:p>
    <w:p>
      <w:pPr>
        <w:pStyle w:val="Heading2"/>
      </w:pPr>
      <w:r>
        <w:t>мотивировочная часть</w:t>
      </w:r>
    </w:p>
    <w:p>
      <w:r>
        <w:t>Комиссия УФАС, руководствуясь ст. ст. 2,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«СТОУН» обоснованной частично.</w:t>
      </w:r>
    </w:p>
    <w:p>
      <w:r>
        <w:t>Признать в действиях Заказчика нарушение п. 5 ч. 1 ст. 42 (ч. 6 ст. 23) Закона о контрактной системе.</w:t>
      </w:r>
    </w:p>
    <w:p>
      <w:r>
        <w:t>Выдать Заказчику, аукционной комиссии, оператору электронной торговой площадки предписание об устранении выявленного нарушения.</w:t>
      </w:r>
    </w:p>
    <w:p>
      <w:r>
        <w:t>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