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202600187298000451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29.01.2026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0348200063726000002</w:t>
      </w:r>
    </w:p>
    <w:p>
      <w:r>
        <w:rPr>
          <w:b/>
        </w:rPr>
        <w:t xml:space="preserve">Заказчик: </w:t>
      </w:r>
      <w:r>
        <w:t>ГБУЗ Московской области «Детский научно-клинический центр имени Л.М. Рошаля»</w:t>
      </w:r>
    </w:p>
    <w:p>
      <w:r>
        <w:rPr>
          <w:b/>
        </w:rPr>
        <w:t xml:space="preserve">Заявитель: </w:t>
      </w:r>
      <w:r>
        <w:t>ООО «ЛИДЕР»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https://zakupki.gov.ru/epz/complaint/card/complaint-information.html?complaintNumber=202600187298000451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«Детский научно-клинический центр имени Л.М. Рошаля»</w:t>
      </w:r>
    </w:p>
    <w:p>
      <w:r>
        <w:t>zakupki-dkc@yandex.ru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«ЛИДЕР»</w:t>
      </w:r>
    </w:p>
    <w:p>
      <w:r>
        <w:t>lider.zakup@gmail.com</w:t>
      </w:r>
    </w:p>
    <w:p>
      <w:r>
        <w:t>РЕШЕНИЕ</w:t>
      </w:r>
    </w:p>
    <w:p>
      <w:r>
        <w:t>по делу № 050/06/105-2012/2026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30.01.2026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«ЛИДЕР» (далее – Заявитель) на действия (бездействие) Государственного бюджетного учреждения здравоохранения Московской области «Детский научно-клинический центр имени Л.М. Рошаля»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изделий медицинского назначения (шприцы общего назначения) для нужд ГБУЗ Московской области «ДНКЦ им. Л.М. Рошаля» на 2026 г. (извещение № 0348200063726000002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положение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19.01.2026;</w:t>
      </w:r>
    </w:p>
    <w:p>
      <w:r>
        <w:t>2) начальная (максимальная) цена контракта – 21 060 642,00 руб.;</w:t>
      </w:r>
    </w:p>
    <w:p>
      <w:r>
        <w:t>3) дата окончания подачи заявок – 27.01.2026;</w:t>
      </w:r>
    </w:p>
    <w:p>
      <w:r>
        <w:t>4) на участие в Аукционе подано 2 заявки от участников закупки, признанные соответствующими требованиям извещения о проведении Аукциона.</w:t>
      </w:r>
    </w:p>
    <w:p>
      <w:r>
        <w:t>Согласно доводу жалобы Заявителя, Заказчиком в извещении о проведении Аукциона установлено неправомерное требование к технической характеристике поставляемого товара.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В соответствии с извещением о проведении Аукциона объектом закупки является поставка изделий медицинского назначения (шприцы общего назначения) для нужд ГБУЗ Московской области «ДНКЦ им. Л.М. Рошаля» на 2026 г.</w:t>
      </w:r>
    </w:p>
    <w:p>
      <w:r>
        <w:t>Заказчиком в извещении о проведении Аукциона установлены требования к техническим характеристикам поставляемого товара по позиции 11 «Шприц общего назначения» в том числе следующее:</w:t>
      </w:r>
    </w:p>
    <w:p>
      <w:r>
        <w:t>– по показателю «Толщина стенок первой иглы» установлено значение «≤ 0.135».</w:t>
      </w:r>
    </w:p>
    <w:p>
      <w:r>
        <w:t>По мнению Заявителя, Заказчиком в извещении о проведении Аукциона установлено неправомерное требование к технической характеристике поставляемого товара, ограничивающее количество участников закупки.</w:t>
      </w:r>
    </w:p>
    <w:p>
      <w:r>
        <w:t>На заседании Комиссии представитель Заказчика пояснил, что техническая характеристика «Толщина стенок первой иглы» для поставляемого товара по позиции 11 «Шприц общего назначения» установлена в соответствии с потребностью Заказчика, что не противоречит требованиям Закона о контрактной системе.</w:t>
      </w:r>
    </w:p>
    <w:p>
      <w:r>
        <w:t>Кроме того, представителем Заказчика представлены документы и сведения, подтверждающие, что совокупности всех характеристик поставляемого товара соответствую товары как минимум двух производителей ООО «МПК «Елец» и SFM Hospital Products GmbH.</w:t>
      </w:r>
    </w:p>
    <w:p>
      <w:r>
        <w:t>На заседании комиссии установлено, что согласно сведениям, размещенным на Официальном сайте, Заказчиком закупается товар по позиции 11 «Шприц общего назначения», в отношении которого предусмотрена соответствующая позиция каталога товаров, работ и услуг (далее – КТРУ) – 32.50.13.110-00004584 «Шприц общего назначения».</w:t>
      </w:r>
    </w:p>
    <w:p>
      <w:r>
        <w:t>Согласно вышеуказанной позиции КТРУ обязательными характеристиками товара поставляемого товара являются «Градуированный объем шприца», «Игла в комплекте», «Коннектор».</w:t>
      </w:r>
    </w:p>
    <w:p>
      <w:r>
        <w:t>Вместе с тем, в извещении о проведении Аукциона Заказчиком установлены дополнительные требования к характеристикам товара, которые не предусмотрены позицией КТРУ, в том числе техническая характеристика «Толщина стенок первой иглы».</w:t>
      </w:r>
    </w:p>
    <w:p>
      <w:r>
        <w:t>При этом, на заседании Комиссии установлено, что в отношении дополнительных характеристик, не предусмотренных позицией КТРУ Заказчиком не размещено надлежащее обоснование установления дополнительных характеристик, не предусмотренных позицией КТРУ, в полной мере раскрывающее потребность Заказчика, что противоречит Правилам и положениям Закона о контрактной системе.</w:t>
      </w:r>
    </w:p>
    <w:p>
      <w:pPr>
        <w:pStyle w:val="Heading2"/>
      </w:pPr>
      <w:r>
        <w:t>мотивировочная часть</w:t>
      </w:r>
    </w:p>
    <w:p>
      <w:r>
        <w:t>С учетом изложенного Комиссия приходит к выводу, что вышеуказанные действия Заказчика нарушают пункт 5 части 1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Вместе с тем, Комиссия приходит к выводу, что вышеуказанные нарушения Закона о контрактной системе, допущенные Заказчиком при формировании извещения о проведении Аукциона не повлияли на результат определения поставщика (подрядчика, исполнителя), так как на участие в закупке подано 2 заявки от участников закупки, признанные соответствующими требованиям извещения о проведении Аукциона с текущим снижением от начальной максимальной цены контракта – 17,54%.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«ЛИДЕР» обоснованной.</w:t>
      </w:r>
    </w:p>
    <w:p>
      <w:r>
        <w:t>Признать в действиях Заказчика нарушение пункта 5 части 1 статьи 42 Закона о контрактной системе.</w:t>
      </w:r>
    </w:p>
    <w:p>
      <w:r>
        <w:t>Заказчику, Аукционной комиссии, Оператору электронной площадки обязательное для исполнения предписание об устранении допущенных нарушений Закона о контрактной системе не выдавать.</w:t>
      </w:r>
    </w:p>
    <w:p>
      <w:r>
        <w:t>Материалы дела от 30.01.2026 № 050/06/105-2012/2026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 об административных правонарушениях.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