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202600187298000535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04.02.2026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1048300019926000011</w:t>
      </w:r>
    </w:p>
    <w:p>
      <w:r>
        <w:rPr>
          <w:b/>
        </w:rPr>
        <w:t xml:space="preserve">Заказчик: </w:t>
      </w:r>
      <w:r>
        <w:t>ГБУЗ Московской области «Клинская больница»</w:t>
      </w:r>
    </w:p>
    <w:p>
      <w:r>
        <w:rPr>
          <w:b/>
        </w:rPr>
        <w:t xml:space="preserve">Заявитель: </w:t>
      </w:r>
      <w:r>
        <w:t>ООО «Уральская медицинская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https://zakupki.gov.ru/epz/complaint/card/complaint-information.html?complaintNumber=202600187298000535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«Клинская больница»</w:t>
      </w:r>
    </w:p>
    <w:p>
      <w:r>
        <w:t>0056@inbox.ru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РЕШЕНИЕ</w:t>
      </w:r>
    </w:p>
    <w:p>
      <w:r>
        <w:t>по делу № 050/06/105-2567/2026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05.02.2026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«Клинская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изделий медицинского назначения (шовный материал) акушерского отделения (извещение № 1048300019926000011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26.01.2026;</w:t>
      </w:r>
    </w:p>
    <w:p>
      <w:r>
        <w:t>2) начальная (максимальная) цена контракта – 905 404,02 рублей;</w:t>
      </w:r>
    </w:p>
    <w:p>
      <w:r>
        <w:t>3) дата окончания подачи заявок – 03.02.2026.</w:t>
      </w:r>
    </w:p>
    <w:p>
      <w:r>
        <w:t>1. Согласно доводу жалобы Заявителя, Заказчиком в извещении о проведении Аукциона не установлены ограничения товаров, происходящих из иностранных государств,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поставка изделий медицинского назначения (шовный материал) акушерского отделения.</w:t>
      </w:r>
    </w:p>
    <w:p>
      <w:r>
        <w:t>Заказчиком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Вместе с тем, Заказчиком в извещении о проведении Аукциона для товаров по позициям 1, 3-5 «Нить хирургическая из полигликолевой кислоты, полинить» и по позициям 7-8 «Нить хирургическая полиамидная, нерассасывающаяся, полинить» установлены требования к технической характеристике «Длина игл».</w:t>
      </w:r>
    </w:p>
    <w:p>
      <w:r>
        <w:t>Согласно сведениям, размещенным на Официальном сайте, Заказчиком закупаются товары «Нить хирургическая из полигликолевой кислоты, полинить» КТРУ 21.20.24.120-00000020 и «Нить хирургическая полиамидная, нерассасывающаяся, полинить» КТРУ 21.20.24.120-00000018, относящиеся к коду ОКПД2 21.20.24.120: Шовные материалы.</w:t>
      </w:r>
    </w:p>
    <w:p>
      <w:r>
        <w:t>На заседании Комиссии установлено, что код ОКПД2 21.20.24.120: Шовные материалы,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21.20.24.120 «Иглы хирургические; инструменты колющие; шприцы», в которую входит код ОКПД2 21.20.24.120: Шовные материалы.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Таким образом, соответствующая "защитная" мера распространяется на всю указанную в позиции перечней № 1 - № 3 группу товаров, работ, услуг по ОКПД 2, то есть на все товары, работы, услуги, включенные в указанную в соответствующей позиции перечней № 1 - № 3 группировку по ОКПД 2.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извещением о проведении Аукциона объектом закупки является поставка изделий медицинского назначения (шовный материал) акушерского отделения.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товаров, в том числе следующие:</w:t>
      </w:r>
    </w:p>
    <w:p>
      <w:r>
        <w:t>- для товара «Нить хирургическая из полигликолевой кислоты, полинить» по показателю «Минимальная прочность нити через две недели после имплантации» установлено значение «≥ 70» с единицей измерения «процент», по показателю «Индивидуальная стерилизационная упаковка» установлено значение «Одинарная выполнена из алюминиевой фольги, содержит характеристики нити и игл, а также изображение игл в натуральную величину», по показателю «Товар изготовлен, упакован и маркирован в соответствии с ГОСТ» установлено значение «Соответствие»;</w:t>
      </w:r>
    </w:p>
    <w:p>
      <w:r>
        <w:t>- для товара «Нить хирургическая полиамидная, нерассасывающаяся, полинить» по показателю «Товар изготовлен, упакован и маркирован в соответствии с ГОСТ» установлено значение «Соответствие», по показателю «Индивидуальная стерилизационная упаковка» установлено значение «Одинарная выполнена из алюминиевой фольги, содержит характеристики нити и игл, а также изображение игл в натуральную величину».</w:t>
      </w:r>
    </w:p>
    <w:p>
      <w:r>
        <w:t>Указанные требования приводят к ограничению количества участников закупки, поскольку Закон о контрактной системе не обязывает участника закупки при заполнении заявки иметь в наличии товар для представления подробных сведений о компонентном составе, результате испытаний, а также результатов использования таких товаров.</w:t>
      </w:r>
    </w:p>
    <w:p>
      <w:r>
        <w:t>При этом, Комиссия отмечает, что требования к упаковке не является технической, качественной и функциональной характеристикой товара, в связи с чем, установление Заказчиком указанных требований к товарам является неправомерным.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3. 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Согласно части 1 статьи 34 Закона о контрактной системе контракт заключается на условиях, предусмотренных извещением об осуществлении закупки или приглашением, документацией о закупке, заявкой участника закупки, с которым заключается контракт, за исключением случаев, в которых в соответствии с настоящим Федеральным законом извещение об осуществлении закупки или приглашение, документация о закупке, заявка не предусмотрены. В случае, предусмотренном частью 24 статьи 22 настоящего Федерального закона, контракт должен содержать порядок определения количества поставляемого товара, объема выполняемой работы, оказываемой услуги на основании заявок заказчика.</w:t>
      </w:r>
    </w:p>
    <w:p>
      <w:r>
        <w:t>Заказчиком в Приложении № 2 к Контракту установлены сроки поставки товара в том числе следующие:</w:t>
      </w:r>
    </w:p>
    <w:p>
      <w:r>
        <w:t>«Период направления заявок: начало: 0 раб. дн. от даты заключения контракта, окончание: 31.12.2026 (МСК);</w:t>
      </w:r>
    </w:p>
    <w:p>
      <w:r>
        <w:t>Срок начала поставки товара Поставщиком*: 0 дн. от даты направления заявки;</w:t>
      </w:r>
    </w:p>
    <w:p>
      <w:r>
        <w:t>Срок окончания поставки товара Поставщиком*: 5 дн. от даты направления заявки».</w:t>
      </w:r>
    </w:p>
    <w:p>
      <w:r>
        <w:t>Вместе с тем, на заседании Комиссии установлено, что проектом контракта и Техническим заданием не регламентирован порядок направления заявок, не установлен максимальный и минимальный объем заявки, а также не установлены максимальные и минимальные сроки выполнения заявок, что вводит участников закупки в заблуждение и противоречит требования Закона о контрактной системе.</w:t>
      </w:r>
    </w:p>
    <w:p>
      <w:r>
        <w:t>Таким образом, действия Заказчика нарушают пункт 1 части 2 статьи 42 Закона о контрактной системе,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«УРАЛЬСКАЯ МЕДИЦИНСКАЯ КОМПАНИЯ» обоснованной.</w:t>
      </w:r>
    </w:p>
    <w:p>
      <w:r>
        <w:t>Признать в действиях Заказчика нарушения пункта 2 части 2 статьи 14, пункта 5 части 1 статьи 42, пункта 1 части 2 статьи 42 Закона о контрактной системе.</w:t>
      </w:r>
    </w:p>
    <w:p>
      <w:r>
        <w:t>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05.02.2026 № 050/06/105-2567/2026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«Клинская больница»</w:t>
      </w:r>
    </w:p>
    <w:p>
      <w:r>
        <w:t>0056@inbox.ru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ПРЕДПИСАНИЕ</w:t>
      </w:r>
    </w:p>
    <w:p>
      <w:r>
        <w:t>по делу № 050/06/105-2567/2026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05.02.2026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05.02.2026 № 050/06/105-2567/2026, принятого Комиссией по итогам рассмотрения жалобы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«Клинская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изделий медицинского назначения (шовный материал) акушерского отделения (извещение № 1048300019926000011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05.02.2026 № 050/06/105-2567/2026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05.02.2026 № 050/06/105-2567/2026.</w:t>
      </w:r>
    </w:p>
    <w:p>
      <w:r>
        <w:t>6. Заказчику, Аукционной комиссии, Оператору электронной площадки в срок до 19.02.2026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