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202600187298001692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30.03.2026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0348300139626000101</w:t>
      </w:r>
    </w:p>
    <w:p>
      <w:r>
        <w:rPr>
          <w:b/>
        </w:rPr>
        <w:t xml:space="preserve">Заказчик: </w:t>
      </w:r>
      <w:r>
        <w:t>ГБУЗ Московской области «Дубненская больница»</w:t>
      </w:r>
    </w:p>
    <w:p>
      <w:r>
        <w:rPr>
          <w:b/>
        </w:rPr>
        <w:t xml:space="preserve">Заявитель: </w:t>
      </w:r>
      <w:r>
        <w:t>ООО «Медсервис»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https://zakupki.gov.ru/epz/complaint/card/complaint-information.html?complaintNumber=202600187298001692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«Дубненская больница»</w:t>
      </w:r>
    </w:p>
    <w:p>
      <w:r>
        <w:t>tzrbzakupki@yandex.ru</w:t>
      </w:r>
    </w:p>
    <w:p>
      <w:r>
        <w:t>Оператор электронной площадки:</w:t>
      </w:r>
    </w:p>
    <w:p>
      <w:r>
        <w:t>ЭТП «Фабрикант»</w:t>
      </w:r>
    </w:p>
    <w:p>
      <w:r>
        <w:t>Причальный проезд, д. 2А,</w:t>
      </w:r>
    </w:p>
    <w:p>
      <w:r>
        <w:t>БЦ «Якорь», 5 этаж,</w:t>
      </w:r>
    </w:p>
    <w:p>
      <w:r>
        <w:t>Москва, 123290</w:t>
      </w:r>
    </w:p>
    <w:p>
      <w:r>
        <w:t>info@fabrikant.ru</w:t>
      </w:r>
    </w:p>
    <w:p>
      <w:r>
        <w:t>Заявитель:</w:t>
      </w:r>
    </w:p>
    <w:p>
      <w:r>
        <w:t>ООО «МедСервис»</w:t>
      </w:r>
    </w:p>
    <w:p>
      <w:r>
        <w:t>oleglem@icloud.com</w:t>
      </w:r>
    </w:p>
    <w:p>
      <w:r>
        <w:t>mail@medservice116.ru</w:t>
      </w:r>
    </w:p>
    <w:p>
      <w:r>
        <w:t>РЕШЕНИЕ</w:t>
      </w:r>
    </w:p>
    <w:p>
      <w:r>
        <w:t>по делу № 050/06/105-8948/2026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30.03.2026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«МедСервис» (далее – Заявитель) на действия (бездействие) Государственного бюджетного учреждения здравоохранения Московской области «Дубненская больница» (далее – Заказчик) при определении поставщика (подрядчика, исполнителя) путем проведения ЭТП «Фабрикант» (далее – Оператор электронной площадки) электронного аукциона на поставку шовного материала (лот 2) (извещение № 0348300139626000101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20.03.2026;</w:t>
      </w:r>
    </w:p>
    <w:p>
      <w:r>
        <w:t>2) начальная (максимальная) цена контракта – 1 226 526,58 рублей;</w:t>
      </w:r>
    </w:p>
    <w:p>
      <w:r>
        <w:t>3) дата окончания подачи заявок – 30.03.2026.</w:t>
      </w:r>
    </w:p>
    <w:p>
      <w:r>
        <w:t>Согласно доводу жалобы Заявителя, Заказчиком в извещении о проведении Аукциона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шовного материала (лот 2).</w:t>
      </w:r>
    </w:p>
    <w:p>
      <w:r>
        <w:t>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Вместе с тем, Заказчиком в извещении о проведении Аукциона для товаров «Нить хирургическая из полиолефина, мононить», «Нить хирургическая из полиэфира, нерассасывающаяся, полинить» и «Нить хирургическая полиамидная, нерассасывающаяся, полинить» установлены требования к техническим характеристикам «Игла», «Длина иглы».</w:t>
      </w:r>
    </w:p>
    <w:p>
      <w:r>
        <w:t>Согласно сведениям, размещенным на Официальном сайте, Заказчиком закупаются товары «Нить хирургическая из полиолефина, мононить» КТРУ 21.20.24.120-00000028, «Нить хирургическая из полиэфира, нерассасывающаяся, полинить» КТРУ 21.20.24.120-00000032 и «Нить хирургическая полиамидная, нерассасывающаяся, полинить» КТРУ 21.20.24.120-00000018, относящиеся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21.20.24.120 «Иглы хирургические; инструменты колющие; шприцы», в которую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соответствующая "защитная"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Вместе с тем, Заказчиком размещено извещение об отмене определения поставщика (подрядчика, исполнителя) от 26.03.2026 № ИО1.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«МедСервис» обоснованной.</w:t>
      </w:r>
    </w:p>
    <w:p>
      <w:r>
        <w:t>Признать в действиях Заказчика нарушение пункта 2 части 2 статьи 14 Закона о контрактной системе.</w:t>
      </w:r>
    </w:p>
    <w:p>
      <w:r>
        <w:t>Заказчику, Оператору электронной площадки обязательное для исполнения предписание об устранении допущенных нарушений Закона о контрактной системе не выдавать, так как закупка отменена.</w:t>
      </w:r>
    </w:p>
    <w:p>
      <w:r>
        <w:t>Материалы дела от 30.03.2026 № 050/06/105-8948/2026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