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202600187298001914</w:t>
      </w:r>
    </w:p>
    <w:p>
      <w:r>
        <w:rPr>
          <w:b/>
        </w:rPr>
        <w:t xml:space="preserve">УФАС: </w:t>
      </w:r>
      <w:r>
        <w:t>УФАС по Московской области</w:t>
      </w:r>
    </w:p>
    <w:p>
      <w:r>
        <w:rPr>
          <w:b/>
        </w:rPr>
        <w:t xml:space="preserve">Дата решения: </w:t>
      </w:r>
      <w:r>
        <w:t>Опубликовано в ЕИС 09.04.2026 · в тексте решения — 10.04.2026</w:t>
      </w:r>
    </w:p>
    <w:p>
      <w:r>
        <w:rPr>
          <w:b/>
        </w:rPr>
        <w:t xml:space="preserve">Исход: </w:t>
      </w:r>
      <w:r>
        <w:t>обоснована</w:t>
      </w:r>
    </w:p>
    <w:p>
      <w:r>
        <w:rPr>
          <w:b/>
        </w:rPr>
        <w:t xml:space="preserve">Закупка №: </w:t>
      </w:r>
      <w:r>
        <w:t>0348300058626000028</w:t>
      </w:r>
    </w:p>
    <w:p>
      <w:r>
        <w:rPr>
          <w:b/>
        </w:rPr>
        <w:t xml:space="preserve">Заказчик: </w:t>
      </w:r>
      <w:r>
        <w:t>ГБУЗ Московской области «Каширская больница»</w:t>
      </w:r>
    </w:p>
    <w:p>
      <w:r>
        <w:rPr>
          <w:b/>
        </w:rPr>
        <w:t xml:space="preserve">Заявитель: </w:t>
      </w:r>
      <w:r>
        <w:t>ООО «ЛЕДО»</w:t>
      </w:r>
    </w:p>
    <w:p>
      <w:r>
        <w:rPr>
          <w:b/>
        </w:rPr>
        <w:t xml:space="preserve">Первоисточник в ЕИС: </w:t>
      </w:r>
      <w:r>
        <w:t>https://zakupki.gov.ru/epz/complaint/card/complaint-information.html?complaintNumber=202600187298001914</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«Каширская больница»</w:t>
      </w:r>
    </w:p>
    <w:p>
      <w:r>
        <w:t>dimitrovvlv@mosreg.ru</w:t>
      </w:r>
    </w:p>
    <w:p>
      <w:r>
        <w:t>Оператор электронной площадки:</w:t>
      </w:r>
    </w:p>
    <w:p>
      <w:r>
        <w:t>АО «Сбербанк – АСТ»</w:t>
      </w:r>
    </w:p>
    <w:p>
      <w:r>
        <w:t>ko@sberbank-ast.ru</w:t>
      </w:r>
    </w:p>
    <w:p>
      <w:r>
        <w:t>Заявитель:</w:t>
      </w:r>
    </w:p>
    <w:p>
      <w:r>
        <w:t>ООО «Ледо»</w:t>
      </w:r>
    </w:p>
    <w:p>
      <w:r>
        <w:t>torgi.ledo@yandex.ru</w:t>
      </w:r>
    </w:p>
    <w:p>
      <w:r>
        <w:t>РЕШЕНИЕ</w:t>
      </w:r>
    </w:p>
    <w:p>
      <w:r>
        <w:t>по делу № 050/06/105-10123/2026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10.04.2026</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«Ледо» (далее – Заявитель) на действия (бездействие) Государственного бюджетного учреждения здравоохранения Московской области «Каширская больница» (далее – Заказчик) при определении поставщика (подрядчика, исполнителя) путем проведения АО «Сбербанк – АСТ» (далее – Оператор электронной площадки) электронного аукциона на поставку расходного материала для патологоанатомического отделения на 2026 год (лот 2) (извещение № 0348300058626000028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23.03.2026;</w:t>
      </w:r>
    </w:p>
    <w:p>
      <w:r>
        <w:t>начальная максимальная цена контракта - 320 920,00 руб.;</w:t>
      </w:r>
    </w:p>
    <w:p>
      <w:r>
        <w:t>дата окончания подачи заявок – 31.03.2026;</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участник закупки с идентификационным номером «156» признан победителем (далее – Победитель).</w:t>
      </w:r>
    </w:p>
    <w:p>
      <w:r>
        <w:t>1. Согласно доводу жалобы Заявителя, Аукционной комиссией при рассмотрении заявок на участие в закупке не применено преимущество, предусмотренное положениями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3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t>а) при присвоении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«б»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
        <w:t>б) в случае заключения контракта с участником закупки, указанным в подпункте «а» настоящего пункта, контракт заключается без учета осуществленных в соответствии с подпунктом «а» настоящего пункта снижения ценового предложения, цены за единицу товара либо увеличения ценового предложения;</w:t>
      </w:r>
    </w:p>
    <w:p>
      <w:r>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Подпунктом «б» пункта 4 Постановление № 1875 установлено, что если объект закупки (предмет закупки) включает хотя бы один товар, не указанный в приложении № 1 к настоящему постановлению и приложении № 2 к настоящему постановлению,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пунктом 1 настоящего постановления преимущество при условии, что:</w:t>
      </w:r>
    </w:p>
    <w:p>
      <w:r>
        <w:t>при осуществлении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в числе заявок на участие в закупке, которым в соответствии с подпунктом «б» пункта 1 части 15 статьи 48, подпунктом «б» пункта 1 части 5 статьи 49, подпунктом «б» пункта 1 части 3 статьи 50, подпунктом «в» пункта 1 части 10 статьи 73, пунктом 1 части 5 статьи 74, подпунктом «в» пункта 1 части 9 статьи 75, подпунктом «б» пункта 1 части 5 статьи 76 Федерального закона «О контрактной системе в сфере закупок товаров, работ, услуг для обеспечения государственных и муниципальных нужд» присваиваются порядковые номера, имеется заявка на участие в закупке, содержащая предложение о поставке хотя бы одного товара, происходящего из иностранного государства;</w:t>
      </w:r>
    </w:p>
    <w:p>
      <w:r>
        <w:t>при осуществлении закупки в соответствии с Федеральным законом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r>
        <w:t>В соответствии с подпунктом «з» пункта 3 Постановления № 1875 установить, что информацией и документами, подтверждающими страну происхождения товара для целей настоящего постановления, является указание в заявке на участие в закупке наименования страны происхождения товара (в случае осуществления закупки в соответствии с Законом о контрактной системе,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Подпунктом «д» пункта 4 Постановление № 1875 установлено, что позиции приложения № 1 к настоящему постановлению и приложения № 2 к настоящему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классификатору продукции по видам экономической деятельности ОК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классификатору продукции по видам экономической деятельности ОК 034-2014 (КПЕС 2008)». При этом если в объект закупки включено медицинское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p>
      <w:r>
        <w:t>В соответствии с протоколом подведения итогов определения поставщика (подрядчика, исполнителя) от 01.04.2026 №ИЭА1 (далее – Протокол) заявка Заявителя с идентификационным номером «1», заявка Победителя и заявки участников закупки с идентификационными номерами «148», «151» и «40» признаны соответствующими требованиям извещения о проведении Аукциона и указано в том числе следующее:</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Идентифи- кационный номер заявки</w:t>
            </w:r>
          </w:p>
        </w:tc>
        <w:tc>
          <w:tcPr>
            <w:tcW w:type="dxa" w:w="1234"/>
          </w:tcPr>
          <w:p>
            <w:r>
              <w:t>Дата и время подачи заявки</w:t>
            </w:r>
          </w:p>
        </w:tc>
        <w:tc>
          <w:tcPr>
            <w:tcW w:type="dxa" w:w="1234"/>
          </w:tcPr>
          <w:p>
            <w:r>
              <w:t>Предложение о цене контракта /сумме цен единиц товара, работы, услуги, руб.</w:t>
            </w:r>
          </w:p>
        </w:tc>
        <w:tc>
          <w:tcPr>
            <w:tcW w:type="dxa" w:w="1234"/>
          </w:tcPr>
          <w:p>
            <w:r>
              <w:t>Процент снижения цены</w:t>
            </w:r>
          </w:p>
        </w:tc>
        <w:tc>
          <w:tcPr>
            <w:tcW w:type="dxa" w:w="1234"/>
          </w:tcPr>
          <w:p>
            <w:r>
              <w:t>Порядковый номер заявки, присвоенный оператором</w:t>
            </w:r>
          </w:p>
        </w:tc>
        <w:tc>
          <w:tcPr>
            <w:tcW w:type="dxa" w:w="1234"/>
          </w:tcPr>
          <w:p>
            <w:r>
              <w:t>Порядковый номер заявки, присвоенный организатором</w:t>
            </w:r>
          </w:p>
        </w:tc>
        <w:tc>
          <w:tcPr>
            <w:tcW w:type="dxa" w:w="1234"/>
          </w:tcPr>
          <w:p>
            <w:r>
              <w:t>Результат рассмотрения</w:t>
            </w:r>
          </w:p>
        </w:tc>
      </w:tr>
      <w:tr>
        <w:tc>
          <w:tcPr>
            <w:tcW w:type="dxa" w:w="1234"/>
          </w:tcPr>
          <w:p>
            <w:r>
              <w:t>156</w:t>
            </w:r>
          </w:p>
        </w:tc>
        <w:tc>
          <w:tcPr>
            <w:tcW w:type="dxa" w:w="1234"/>
          </w:tcPr>
          <w:p>
            <w:r>
              <w:t>30.03.2026 15:31:04</w:t>
            </w:r>
          </w:p>
        </w:tc>
        <w:tc>
          <w:tcPr>
            <w:tcW w:type="dxa" w:w="1234"/>
          </w:tcPr>
          <w:p>
            <w:r>
              <w:t>210 202,40</w:t>
            </w:r>
          </w:p>
        </w:tc>
        <w:tc>
          <w:tcPr>
            <w:tcW w:type="dxa" w:w="1234"/>
          </w:tcPr>
          <w:p>
            <w:r>
              <w:t>34.50 %</w:t>
            </w:r>
          </w:p>
        </w:tc>
        <w:tc>
          <w:tcPr>
            <w:tcW w:type="dxa" w:w="1234"/>
          </w:tcPr>
          <w:p>
            <w:r>
              <w:t>1</w:t>
            </w:r>
          </w:p>
        </w:tc>
        <w:tc>
          <w:tcPr>
            <w:tcW w:type="dxa" w:w="1234"/>
          </w:tcPr>
          <w:p>
            <w:r>
              <w:t>1</w:t>
            </w:r>
          </w:p>
        </w:tc>
        <w:tc>
          <w:tcPr>
            <w:tcW w:type="dxa" w:w="1234"/>
          </w:tcPr>
          <w:p>
            <w:r>
              <w:t>Соответствует</w:t>
            </w:r>
          </w:p>
        </w:tc>
      </w:tr>
      <w:tr>
        <w:tc>
          <w:tcPr>
            <w:tcW w:type="dxa" w:w="1234"/>
          </w:tcPr>
          <w:p>
            <w:r>
              <w:t>148</w:t>
            </w:r>
          </w:p>
        </w:tc>
        <w:tc>
          <w:tcPr>
            <w:tcW w:type="dxa" w:w="1234"/>
          </w:tcPr>
          <w:p>
            <w:r>
              <w:t>30.03.2026 23:21:39</w:t>
            </w:r>
          </w:p>
        </w:tc>
        <w:tc>
          <w:tcPr>
            <w:tcW w:type="dxa" w:w="1234"/>
          </w:tcPr>
          <w:p>
            <w:r>
              <w:t>210 202,40</w:t>
            </w:r>
          </w:p>
        </w:tc>
        <w:tc>
          <w:tcPr>
            <w:tcW w:type="dxa" w:w="1234"/>
          </w:tcPr>
          <w:p>
            <w:r>
              <w:t>34.50 %</w:t>
            </w:r>
          </w:p>
        </w:tc>
        <w:tc>
          <w:tcPr>
            <w:tcW w:type="dxa" w:w="1234"/>
          </w:tcPr>
          <w:p>
            <w:r>
              <w:t>2</w:t>
            </w:r>
          </w:p>
        </w:tc>
        <w:tc>
          <w:tcPr>
            <w:tcW w:type="dxa" w:w="1234"/>
          </w:tcPr>
          <w:p>
            <w:r>
              <w:t>2</w:t>
            </w:r>
          </w:p>
        </w:tc>
        <w:tc>
          <w:tcPr>
            <w:tcW w:type="dxa" w:w="1234"/>
          </w:tcPr>
          <w:p>
            <w:r>
              <w:t>Соответствует</w:t>
            </w:r>
          </w:p>
        </w:tc>
      </w:tr>
      <w:tr>
        <w:tc>
          <w:tcPr>
            <w:tcW w:type="dxa" w:w="1234"/>
          </w:tcPr>
          <w:p>
            <w:r>
              <w:t>151</w:t>
            </w:r>
          </w:p>
        </w:tc>
        <w:tc>
          <w:tcPr>
            <w:tcW w:type="dxa" w:w="1234"/>
          </w:tcPr>
          <w:p>
            <w:r>
              <w:t>30.03.2026 11:16:31</w:t>
            </w:r>
          </w:p>
        </w:tc>
        <w:tc>
          <w:tcPr>
            <w:tcW w:type="dxa" w:w="1234"/>
          </w:tcPr>
          <w:p>
            <w:r>
              <w:t>224 643,80</w:t>
            </w:r>
          </w:p>
        </w:tc>
        <w:tc>
          <w:tcPr>
            <w:tcW w:type="dxa" w:w="1234"/>
          </w:tcPr>
          <w:p>
            <w:r>
              <w:t>30.00 %</w:t>
            </w:r>
          </w:p>
        </w:tc>
        <w:tc>
          <w:tcPr>
            <w:tcW w:type="dxa" w:w="1234"/>
          </w:tcPr>
          <w:p>
            <w:r>
              <w:t>3</w:t>
            </w:r>
          </w:p>
        </w:tc>
        <w:tc>
          <w:tcPr>
            <w:tcW w:type="dxa" w:w="1234"/>
          </w:tcPr>
          <w:p>
            <w:r>
              <w:t>3</w:t>
            </w:r>
          </w:p>
        </w:tc>
        <w:tc>
          <w:tcPr>
            <w:tcW w:type="dxa" w:w="1234"/>
          </w:tcPr>
          <w:p>
            <w:r>
              <w:t>Соответствует</w:t>
            </w:r>
          </w:p>
        </w:tc>
      </w:tr>
      <w:tr>
        <w:tc>
          <w:tcPr>
            <w:tcW w:type="dxa" w:w="1234"/>
          </w:tcPr>
          <w:p>
            <w:r>
              <w:t>4</w:t>
            </w:r>
          </w:p>
        </w:tc>
        <w:tc>
          <w:tcPr>
            <w:tcW w:type="dxa" w:w="1234"/>
          </w:tcPr>
          <w:p>
            <w:r>
              <w:t>31.03.2026 08:44:22</w:t>
            </w:r>
          </w:p>
        </w:tc>
        <w:tc>
          <w:tcPr>
            <w:tcW w:type="dxa" w:w="1234"/>
          </w:tcPr>
          <w:p>
            <w:r>
              <w:t>245 936,81</w:t>
            </w:r>
          </w:p>
        </w:tc>
        <w:tc>
          <w:tcPr>
            <w:tcW w:type="dxa" w:w="1234"/>
          </w:tcPr>
          <w:p>
            <w:r>
              <w:t>23.37 %</w:t>
            </w:r>
          </w:p>
        </w:tc>
        <w:tc>
          <w:tcPr>
            <w:tcW w:type="dxa" w:w="1234"/>
          </w:tcPr>
          <w:p>
            <w:r>
              <w:t>4</w:t>
            </w:r>
          </w:p>
        </w:tc>
        <w:tc>
          <w:tcPr>
            <w:tcW w:type="dxa" w:w="1234"/>
          </w:tcPr>
          <w:p>
            <w:r>
              <w:t>4</w:t>
            </w:r>
          </w:p>
        </w:tc>
        <w:tc>
          <w:tcPr>
            <w:tcW w:type="dxa" w:w="1234"/>
          </w:tcPr>
          <w:p>
            <w:r>
              <w:t>Соответствует</w:t>
            </w:r>
          </w:p>
        </w:tc>
      </w:tr>
      <w:tr>
        <w:tc>
          <w:tcPr>
            <w:tcW w:type="dxa" w:w="1234"/>
          </w:tcPr>
          <w:p>
            <w:r>
              <w:t>40</w:t>
            </w:r>
          </w:p>
        </w:tc>
        <w:tc>
          <w:tcPr>
            <w:tcW w:type="dxa" w:w="1234"/>
          </w:tcPr>
          <w:p>
            <w:r>
              <w:t>31.03.2026 07:21:22</w:t>
            </w:r>
          </w:p>
        </w:tc>
        <w:tc>
          <w:tcPr>
            <w:tcW w:type="dxa" w:w="1234"/>
          </w:tcPr>
          <w:p>
            <w:r>
              <w:t>320 920,00</w:t>
            </w:r>
          </w:p>
        </w:tc>
        <w:tc>
          <w:tcPr>
            <w:tcW w:type="dxa" w:w="1234"/>
          </w:tcPr>
          <w:p>
            <w:r>
              <w:t>0.00 %</w:t>
            </w:r>
          </w:p>
        </w:tc>
        <w:tc>
          <w:tcPr>
            <w:tcW w:type="dxa" w:w="1234"/>
          </w:tcPr>
          <w:p>
            <w:r>
              <w:t>5</w:t>
            </w:r>
          </w:p>
        </w:tc>
        <w:tc>
          <w:tcPr>
            <w:tcW w:type="dxa" w:w="1234"/>
          </w:tcPr>
          <w:p>
            <w:r>
              <w:t>5</w:t>
            </w:r>
          </w:p>
        </w:tc>
        <w:tc>
          <w:tcPr>
            <w:tcW w:type="dxa" w:w="1234"/>
          </w:tcPr>
          <w:p>
            <w:r>
              <w:t>Соответствует</w:t>
            </w:r>
          </w:p>
        </w:tc>
      </w:tr>
    </w:tbl>
    <w:p>
      <w:r>
        <w:t>При присвоении порядковых номеров заявкам на участие в закупке применено преимущество в порядке, определенном подпунктом «а» пункта 3 части 4 статьи 14 Федерального закона от 05 апреля 2013 г. № 44-ФЗ».</w:t>
      </w:r>
    </w:p>
    <w:p>
      <w:r>
        <w:t>Согласно извещению о проведении Аукциона предметом закупки является поставка расходного материала для патологоанатомического отделения на 2026 год.</w:t>
      </w:r>
    </w:p>
    <w:p>
      <w:r>
        <w:t>В соответствии с извещением о проведении Аукциона, Заказчиком установлены требования к техническим характеристикам товаров «Стекло предметное и (или) слайд для микроскопии ИВД, одноразового использования» с кодом позиции КТРУ 32.50.50.000-00002401, относящийся к коду ОКДП2 32.50.50.000, «Биопсийная прокладка» с кодом ОКПД2 32.50.50.190, «Кассета для гистологической обработки/хранения тканей» с кодом позиции КТРУ 32.50.50.000-00000528, относящиеся к кодам ОКДП2 32.50.50.000 и 32.50.50.190, которые не содержатся в Приложениях № 1 и № 2 к Постановлению № 1875.</w:t>
      </w:r>
    </w:p>
    <w:p>
      <w:r>
        <w:t>Заказчиком в извещении о проведении Аукциона в отношении поставляемых товаров установлено преимущество в отношении товаров российского происхождения, выполняемых работ, оказываемых услуг российскими лицами.</w:t>
      </w:r>
    </w:p>
    <w:p>
      <w:r>
        <w:t>Кроме того, в Требованиях к содержанию и составу заявки на участие в Аукционе Заказчиком установлено в том числе следующее:</w:t>
      </w:r>
    </w:p>
    <w:p>
      <w:r>
        <w:t>«5) информация и документы, предусмотренные нормативными правовыми актами, принятыми в соответствии с частями 3 и 4 статьи 14 Закона 44-ФЗ (в случае, если в извещении об осуществлении закупки, документации о закупке (если Законом 44-ФЗ предусмотрена документация о закупке) установлены предусмотренные указанной статьей запреты, ограничения, условия допуска).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
        <w:t>На заседании Комиссии установлено, что Победителем и участником закупки с идентификационным номером заявки «148» предложены к поставке товары страной происхождения «Китайская Народная Республика», участником закупки с идентификационным номером «151» предложены к поставке товары страной происхождения «Китайская Народная Республика» и «Российская Федерация».</w:t>
      </w:r>
    </w:p>
    <w:p>
      <w:r>
        <w:t>Вместе с тем, на заседании Комиссии установлено, что заявки Заявителя и участника закупки с идентификационным номером «40» содержат предложение о поставке товара со страной происхождения «Российская Федерация».</w:t>
      </w:r>
    </w:p>
    <w:p>
      <w:pPr>
        <w:pStyle w:val="Heading2"/>
      </w:pPr>
      <w:r>
        <w:t>мотивировочная часть</w:t>
      </w:r>
    </w:p>
    <w:p>
      <w:r>
        <w:t>Таким образом, Комиссия приходит к выводу, что Заявителем в составе заявки представлена информация о стране происхождения товара в соответствии с требованиями извещения о проведении Аукциона, при этом в отношении заявки Заявителя Аукционной комиссией не применены установленные в извещении о проведении Аукциона преимущества, предусмотренные Постановлением № 1875.</w:t>
      </w:r>
    </w:p>
    <w:p>
      <w:r>
        <w:t>Изучив заявки участников закупки, представленные на заседании Комиссии представителем Заказчика, Комиссия приходит к выводу, что Аукционной комиссией не применено преимущество, предусмотренное Постановлением № 1875 при рассмотрении заявок участников закупки, что противоречит требованиям Закона о контрактной системе.</w:t>
      </w:r>
    </w:p>
    <w:p>
      <w:r>
        <w:t>Вместе с тем, представитель Заказчика явку представителей на заседание Комиссии не обеспечил, документов и сведений, свидетельствующих о правомерности действий Заказчика, не представил.</w:t>
      </w:r>
    </w:p>
    <w:p>
      <w:r>
        <w:t>Следовательно, довод жалобы Заявителя, является обоснованным.</w:t>
      </w:r>
    </w:p>
    <w:p>
      <w:r>
        <w:t>В ходе проведения внеплановой проверки Комиссией установлено следующее:</w:t>
      </w:r>
    </w:p>
    <w:p>
      <w:r>
        <w:t>2. 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части 5 статьи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частью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пункту 4 Постановления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Правила)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Правилами»,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пунктом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каталога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пунктом 1 части 1 статьи 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Закона о контрактной системе соответственно.</w:t>
      </w:r>
    </w:p>
    <w:p>
      <w:r>
        <w:t>В соответствии с извещением о проведении Аукциона объектом закупки является поставка расходного материала для патологоанатомического отделения на 2026 год.</w:t>
      </w:r>
    </w:p>
    <w:p>
      <w:r>
        <w:t>На заседании Комиссии установлено, что Заказчиком в извещении о проведении Аукциона установлены требования к техническим характеристикам товаров, в том числе для товара «Стекло предметное и (или) слайд для микроскопии ИВД, одноразового использования» установлена характеристика «описание».</w:t>
      </w:r>
    </w:p>
    <w:p>
      <w:r>
        <w:t>Вместе с тем, на заседании комиссии установлено, что согласно сведениям, размещенным на Официальном сайте, Заказчиком закупаются товары «Стекло предметное и (или) слайд для микроскопии ИВД, одноразового использования», в отношении которого предусмотрена соответствующая позиция КТРУ – 32.50.50.000-00002401 «Стекло предметное и (или) слайд для микроскопии ИВД, одноразового использования».</w:t>
      </w:r>
    </w:p>
    <w:p>
      <w:r>
        <w:t>Согласно вышеуказанной позиции КТРУ обязательными характеристиками товара являются «Адгезивное покрытие», «Возможность печати», «Длина», «Зона для маркировки», «Исполнение».</w:t>
      </w:r>
    </w:p>
    <w:p>
      <w:r>
        <w:t>Вместе с тем, в извещении о проведении Аукциона Заказчиком установлены дополнительные требования к характеристикам товара, которые не предусмотрены позицией КТРУ.</w:t>
      </w:r>
    </w:p>
    <w:p>
      <w:r>
        <w:t>При этом, на заседании Комиссии установлено, что в отношении дополнительных характеристик, не предусмотренных позицией КТРУ Заказчиком не размещено надлежащее обоснование установления дополнительных характеристик, не предусмотренных позицией КТРУ, в полной мере раскрывающее потребность Заказчика, что противоречит Правилам и положениям Закона о контрактной системе.</w:t>
      </w:r>
    </w:p>
    <w:p>
      <w:r>
        <w:t>Аналогичное нарушение допущено Заказчиком в отношении товара «Кассета для гистологической обработки/хранения тканей» с кодом позиции КТРУ 32.50.50.000-00000528.</w:t>
      </w:r>
    </w:p>
    <w:p>
      <w:r>
        <w:t>С учетом изложенного Комиссия приходит к выводу, что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«Ледо» обоснованной.</w:t>
      </w:r>
    </w:p>
    <w:p>
      <w:r>
        <w:t>Признать в действиях Заказчика нарушения пункта 5 части 1 статьи 42 Закона о контрактной системе.</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10.04.2026 № 050/06/105-10123/2026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11</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«Каширская больница»</w:t>
      </w:r>
    </w:p>
    <w:p>
      <w:r>
        <w:t>dimitrovvlv@mosreg.ru</w:t>
      </w:r>
    </w:p>
    <w:p>
      <w:r>
        <w:t>Оператор электронной площадки:</w:t>
      </w:r>
    </w:p>
    <w:p>
      <w:r>
        <w:t>АО «Сбербанк – АСТ»</w:t>
      </w:r>
    </w:p>
    <w:p>
      <w:r>
        <w:t>ko@sberbank-ast.ru</w:t>
      </w:r>
    </w:p>
    <w:p>
      <w:r>
        <w:t>Заявитель:</w:t>
      </w:r>
    </w:p>
    <w:p>
      <w:r>
        <w:t>ООО «Ледо»</w:t>
      </w:r>
    </w:p>
    <w:p>
      <w:r>
        <w:t>torgi.ledo@yandex.ru</w:t>
      </w:r>
    </w:p>
    <w:p>
      <w:r>
        <w:t>ПРЕДПИСАНИЕ</w:t>
      </w:r>
    </w:p>
    <w:p>
      <w:r>
        <w:t>по делу № 050/06/105-10123/2026 об устранении нарушений</w:t>
      </w:r>
    </w:p>
    <w:p>
      <w:r>
        <w:t>законодательства Российской Федерации о контрактной системе в сфере закупок</w:t>
      </w:r>
    </w:p>
    <w:p>
      <w:r>
        <w:t>10.04.2026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10.04.2026 № 050/06/105-10123/2026, принятого Комиссией по итогам рассмотрения жалобы ООО «Ледо» (далее – Заявитель) на действия (бездействие) Государственного бюджетного учреждения здравоохранения Московской области «Каширская больница» (далее – Заказчик) при определении поставщика (подрядчика, исполнителя) путем проведения АО «Сбербанк – АСТ» (далее – Оператор электронной площадки) электронного аукциона на поставку расходного материала для патологоанатомического отделения на 2026 год (лот 2) (извещение № 0348300058626000028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Заказчику, Аукционной комиссии отменить все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Аукционе, об отмене Протоколов, составленных при осуществлении закупок, о прекращении действия заявок, поданных на участие в Аукционе;</w:t>
      </w:r>
    </w:p>
    <w:p>
      <w:r>
        <w:t>- прекратить блокирование операций по счетам для проведения операций по обеспечению участия в открытом аукционе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10.04.2026 № 050/06/105-10123/2026 и разместить соответствующее извещение на Официальном сайте.</w:t>
      </w:r>
    </w:p>
    <w:p>
      <w:r>
        <w:t>- назначить новую дату окончания срока подачи заявок на участие в Аукционе, дату подведения итогов, дату проведения Аукциона, а также разместить на Официальном сайте информацию о новой дате окончания срока подачи заявок на участие в Аукционе, дате проведения Аукциона и дате подведения итогов.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Аукциона и разместить на электронной площадке информацию о времени проведения Аукциона;</w:t>
      </w:r>
    </w:p>
    <w:p>
      <w:r>
        <w:t>- уведомить участников закупки, подавших заявки на участие в Аукционе, о новой дате окончания срока подачи заявок на участие в Аукционе, дате и времени проведения Аукциона, дате подведения итогов Аукциона, а также о возможности подать новые заявки на участие в Аукционе.</w:t>
      </w:r>
    </w:p>
    <w:p>
      <w:r>
        <w:t>5. Заказчику, Аукционной комиссии,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10.04.2026 № 050/06/105-10123/2026.</w:t>
      </w:r>
    </w:p>
    <w:p>
      <w:r>
        <w:t>6. Заказчику, Аукционной комиссии, Оператору электронной площадки в срок до 24.04.2026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