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202600187298004130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17.06.2026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0373100078826000101</w:t>
      </w:r>
    </w:p>
    <w:p>
      <w:r>
        <w:rPr>
          <w:b/>
        </w:rPr>
        <w:t xml:space="preserve">Заказчик: </w:t>
      </w:r>
      <w:r>
        <w:t>Федеральное государственное бюджетное научное учреждение «Федеральный исследовательский центр оригинальных и перспективных биомедицинских и фармацевтических технологий»</w:t>
      </w:r>
    </w:p>
    <w:p>
      <w:r>
        <w:rPr>
          <w:b/>
        </w:rPr>
        <w:t xml:space="preserve">Заявитель: </w:t>
      </w:r>
      <w:r>
        <w:t>ООО «ЮЖНО-уральский центр снабжения»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https://zakupki.gov.ru/epz/complaint/card/complaint-information.html?complaintNumber=202600187298004130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ФГБНУ «ФИЦ оригинальных и перспективных биомедицинских и фармацевтических технологий» torgi@academpharm.ru</w:t>
      </w:r>
    </w:p>
    <w:p>
      <w:r>
        <w:t>ООО «Юурцс» info@yurcs.ru</w:t>
      </w:r>
    </w:p>
    <w:p>
      <w:r>
        <w:t>АО «Сбербанк-АСТ» ko@sberbank-ast.ru</w:t>
      </w:r>
    </w:p>
    <w:p>
      <w:r>
        <w:t>РЕШЕНИЕ по делу № 077/06/105-8144/2026 о нарушении законодательства о контрактной системе 17.06.2026 г. Москва</w:t>
      </w:r>
    </w:p>
    <w:p>
      <w:r>
        <w:t>Комиссия по контролю в сфере закупок товаров, работ, услуг Управления</w:t>
      </w:r>
    </w:p>
    <w:p>
      <w:r>
        <w:t>Федеральной антимонопольной службы по г. Москве (далее – Комиссия Управления) в составе:</w:t>
      </w:r>
    </w:p>
    <w:p>
      <w:r>
        <w:t>Председательствующего – главного специалиста отдела обжалования государственных закупок Е.Д. Мартьяновой,</w:t>
      </w:r>
    </w:p>
    <w:p>
      <w:r>
        <w:t>Члены Комиссии:</w:t>
      </w:r>
    </w:p>
    <w:p>
      <w:r>
        <w:t>Ведущего специалиста-эксперта отдела обжалования государственных закупок</w:t>
      </w:r>
    </w:p>
    <w:p>
      <w:r>
        <w:t>А.А. Леоновой,</w:t>
      </w:r>
    </w:p>
    <w:p>
      <w:r>
        <w:t>Специалиста-эксперта отдела обжалования государственных закупок</w:t>
      </w:r>
    </w:p>
    <w:p>
      <w:r>
        <w:t>А.С. Гелмутдиновой , рассмотрение жалобы проводилось дистанционно (посредством видео-конференц-связи), при участии представителей:</w:t>
      </w:r>
    </w:p>
    <w:p>
      <w:pPr>
        <w:pStyle w:val="Heading2"/>
      </w:pPr>
      <w:r>
        <w:t>описательная часть</w:t>
      </w:r>
    </w:p>
    <w:p>
      <w:r>
        <w:t>ФГБНУ «ФИЦ оригинальных и перспективных биомедицинских и фармацевтических технологий»: Е.А. Абушаевой (по доверенности № 77 АД 5858742 от 02.05.2024), Т.Н. Ереминой (по доверенности № 01-525 от 18.09.2025), в отсутствие представителей ООО «Юурцс», о времени и порядке заседания Комиссии Управления уведомленных надлежащим образом посредством размещения информации в Единой информационной системе, рассмотрев жалобу ООО «Юурцс» (далее — Заявитель) на действия</w:t>
      </w:r>
    </w:p>
    <w:p>
      <w:r>
        <w:t>ФГБНУ «ФИЦ оригинальных и перспективных биомедицинских и фармацевтических технологий» (далее — Заказчик) при проведении запроса котировок в электронной форме на право заключения государственного контракта на поставку электрокардиографа (Закупка № 0373100078826000101) (далее — запрос котировок ), 2026-31658 2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— Закон о контрактной системе),</w:t>
      </w:r>
    </w:p>
    <w:p>
      <w:r>
        <w:t>УСТАНОВИЛА:</w:t>
      </w:r>
    </w:p>
    <w:p>
      <w:r>
        <w:t>В Московское УФАС России поступила жалоба Заявителя на действия</w:t>
      </w:r>
    </w:p>
    <w:p>
      <w:r>
        <w:t>Заказчика при проведении вышеуказанного запроса котировок .</w:t>
      </w:r>
    </w:p>
    <w:p>
      <w:r>
        <w:t>В результате рассмотрения жалобы, рассмотрев представленные документы и сведения, запрашиваемые Московским УФАС России , Комиссия Управления установила следующее.</w:t>
      </w:r>
    </w:p>
    <w:p>
      <w:r>
        <w:t>Заявитель обжалует действия Заказчика, выразившиеся в утверждении извещения в нарушение Закона о контрактной системе.</w:t>
      </w:r>
    </w:p>
    <w:p>
      <w:r>
        <w:t>Согласно п.1 ч.2 ст.42 Закона о контрактной системе и звещение об осуществлении закупки должно содержать описание объекта закупки в соответствии со ст. 33 Закона о контрактной системе .</w:t>
      </w:r>
    </w:p>
    <w:p>
      <w:r>
        <w:t>П.1 ч.1 ст.33 Закона о контрактной системе установлено, что в описании объекта закупки указываются функциональные, технические и качественные характеристики,</w:t>
      </w:r>
    </w:p>
    <w:p>
      <w:r>
        <w:t>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«или эквивалент»;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Федерации.</w:t>
      </w:r>
    </w:p>
    <w:p>
      <w:r>
        <w:t>В соответствии с ч.2 ст.33 Закона о контрактной системе описание объекта закупки в соответствии с требованиями, указанными в ч.1 ст.33 Закона о контрактной системе, должно содержать показатели, позволяющие определить соответствие 2026-31658 3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 и (или) значения показателей, которые не могут изменяться.</w:t>
      </w:r>
    </w:p>
    <w:p>
      <w:r>
        <w:t>В составе жалобы Заявитель также указывает, что при описании закупаемого изделия по п. «Электрокардиограф» Заказчик неправомерно не применил позицию каталога товаров, работ, услуг для обеспечения государственных и муниципальных нужд (далее — КТРУ).</w:t>
      </w:r>
    </w:p>
    <w:p>
      <w:r>
        <w:t>Комиссией Управления установлено, что согласно извещению об осуществлении закупки Заказчиком закупается «Электрокардиограф», при этом для описания данной позиции Заказчиком выбран код ОКПД2: 26.60.12.129.</w:t>
      </w:r>
    </w:p>
    <w:p>
      <w:r>
        <w:t>В силу п.5 ч.1 ст.42 Закона о контрактной системе извещение об осуществлении закупки должно содержать наименование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ч.6 ст.23 Закона о контрактной системе,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Постановлением Правительства Российской Федерации от 08.02.2017 №145 утверждены Правила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(далее — правила формирования КТРУ) и Правила использования каталога товаров, работ, услуг для обеспечения государственных и муниципальных нужд (далее — Правила использования КТРУ).</w:t>
      </w:r>
    </w:p>
    <w:p>
      <w:r>
        <w:t>На основании п.14 ч.3 ст.4 Закона о контрактной системе единая информационная система содержит каталог товаров, работ, услуг для обеспечения государственных и муниципальных нужд.</w:t>
      </w:r>
    </w:p>
    <w:p>
      <w:r>
        <w:t>Согласно ч.6 ст.23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</w:t>
      </w:r>
    </w:p>
    <w:p>
      <w:r>
        <w:t>Федерации.</w:t>
      </w:r>
    </w:p>
    <w:p>
      <w:r>
        <w:t>Согласно пп.«а» п.2 Правила использования КТРУ каталог используется заказчиками в целях обеспечения применения информации о товарах, работах, услугах, в том числе в:</w:t>
      </w:r>
    </w:p>
    <w:p>
      <w:r>
        <w:t>-извещении об осуществлении закупки;</w:t>
      </w:r>
    </w:p>
    <w:p>
      <w:r>
        <w:t>-приглашении принять участие в определении поставщика (подрядчика, исполнителя) (далее — приглашение);</w:t>
      </w:r>
    </w:p>
    <w:p>
      <w:r>
        <w:t>-документации о закупке (в случае если Федеральным законом предусмотрена документация о закупке);</w:t>
      </w:r>
    </w:p>
    <w:p>
      <w:r>
        <w:t>-контракте;</w:t>
      </w:r>
    </w:p>
    <w:p>
      <w:r>
        <w:t>-реестре контрактов, заключенных заказчиками.</w:t>
      </w:r>
    </w:p>
    <w:p>
      <w:r>
        <w:t>2026-31658 4</w:t>
      </w:r>
    </w:p>
    <w:p>
      <w:r>
        <w:t>На основании п.4 Правил использования КТРУ Заказчики обязаны применять информацию, включенную в позицию каталога в соответствии с пп.«а» - «г» и «е» - «з» п.10 Правил формирования КТРУ 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Согласно п.7 Правил использования КТРУ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ст.33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п.1 ч.1 ст.33 Закона о контрактной системе,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ч.1 ст.42, п.1 ч.1 ст.75</w:t>
      </w:r>
    </w:p>
    <w:p>
      <w:r>
        <w:t>Закона о контрактной системе соответственно.</w:t>
      </w:r>
    </w:p>
    <w:p>
      <w:r>
        <w:t>В силу ч.1 ст.106 Закона о контрактной системе лица, права и законные интересы которых непосредственно затрагиваются в результате рассмотрения жалобы, вправе направить в контрольный орган в сфере закупок возражения на жалобу, участвовать в ее рассмотрении лично или через своих представителей.</w:t>
      </w:r>
    </w:p>
    <w:p>
      <w:r>
        <w:t>На заседании Комиссии Управления представитель Заказчика пояснил, что позиции КТРУ на стандартные «скрининговые» электрокардиографы содержат лишь минимальные физические свойства (наличие экрана, вес, габариты) и не способны удовлетворить потребности Заказчика как научно-исследовательского учреждения.</w:t>
      </w:r>
    </w:p>
    <w:p>
      <w:r>
        <w:t>Заказчик на основании п. 7 Правил КТРУ абсолютно правомерно осуществил описание по коду ОКПД2 26.60.12.129 («Электрокардиографы»), самостоятельно установив технические и качественные характеристики в соответствии со ст. 33</w:t>
      </w:r>
    </w:p>
    <w:p>
      <w:r>
        <w:t>Закона о контрактной системе.</w:t>
      </w:r>
    </w:p>
    <w:p>
      <w:r>
        <w:t>Характеристики, которые Заявитель указывает в качестве избыточных, продиктована потребностью заказчика для обеспечения надлежащего качества и точности проводимых исследований:</w:t>
      </w:r>
    </w:p>
    <w:p>
      <w:r>
        <w:t>1. Регистрация ЭКГ в системах отведений Франка, Нэба, Cabrera:</w:t>
      </w:r>
    </w:p>
    <w:p>
      <w:r>
        <w:t>стандартные 12 отведений, которые предусмотрены стандартными позициями КТРУ , регистрируют электрическую активность сердца преимущественно в передней плоскости. Ортогональная система Франка и системи Нэба позволяют выполнять топическую диагностику - выявлять скрытые очаговые изменения, ишемию и микроинфаркты в задне-базальных,</w:t>
      </w:r>
    </w:p>
    <w:p>
      <w:r>
        <w:t>нижних и боковых отделах левого желудочка сердца. Система Cabrera 2026-31658 5 необходима для точного определения вектора и локализации блокад проводящих путей. Отсутствие данных систем приведет к пропуску жизнеугрожающих патологий у объектов исследования.</w:t>
      </w:r>
    </w:p>
    <w:p>
      <w:r>
        <w:t>2. Отображение на экране выбранного количества отведений ЭКГ (от 1 до 12):</w:t>
      </w:r>
    </w:p>
    <w:p>
      <w:r>
        <w:t>При проведении длительных исследований вывод всех 12 каналов одновременно перегружает экран и снижает концентрацию внимания исследователя. Возможность выбрать конкретное количество отведений (например, только 1, 3 или 6 проблемных каналов) позволяет исследователю детально фокусироваться на патологическом очаге в режиме реального времени, скрывая не информативные в данный момент кривые.</w:t>
      </w:r>
    </w:p>
    <w:p>
      <w:r>
        <w:t>3. Автоматическая расстановка маркеров узловых точек комплекса QRST: Точки начала и окончания зубцов (P, Q, R, S, T) определяют временные интервалы проводимости сердца. Ручной расчет этих точек на бумаге или экране занимает много времени и несет в себе высокий риск субъективной ошибки исследователя («человеческий фактор»). Автоматическая расстановка маркеров обеспечивает мгновенный расчет интервалов (таких как критически важный интервал QT/QTc) с точностью до миллисекунды.</w:t>
      </w:r>
    </w:p>
    <w:p>
      <w:r>
        <w:t>4. Автоматическое определение угла отклонения электрической оси сердца (ЭОС): Угол отклонения ЭОС (в градусах) является важнейшим критерием для диагностики гипертрофии желудочков, блокад ножек пучка Гиса и смещения сердца в грудной клетке. Автоматический расчет угла в режиме реального времени позволяет исследователю моментально получить точный математический параметр без необходимости ручных тригонометрических вычислений по таблицам Дюбуа.</w:t>
      </w:r>
    </w:p>
    <w:p>
      <w:r>
        <w:t>5. Просмотр и контурный анализ ранее зарегистрированных кривых непосредственно во время записи: Данная функция позволяет проводить сравнительный анализ «было/стало» прямо в процессе обследования объекта исследования (например, во время проведения фармакологических или ортостатических функциональных проб). Исследователь может сопоставить текущую кардиограмму с фоновой записью, сделанной 5 минут назад, чтобы мгновенно зафиксировать динамику ухудшения проводимости или появление аритмии.</w:t>
      </w:r>
    </w:p>
    <w:p>
      <w:r>
        <w:t>6. Автоматическая маркировка типов QRST комплексов (нормальный, желудочковый, артефакт и др.): при регистрации длинных записей ЭКГ прибор фиксирует сотни сердечных сокращений, автоматически распознает и маркирует</w:t>
      </w:r>
    </w:p>
    <w:p>
      <w:r>
        <w:t>аномальные (например, опасные желудочковые экстрасистолы) комплексы и отделяет их от физических помех (артефактов движения). Без этой функции исследователь будет вынужден вручную просматривать каждую кривую, что делает невозможным оперативное проведение исследования.</w:t>
      </w:r>
    </w:p>
    <w:p>
      <w:r>
        <w:t>7. Возможность изменения развертки (скорости) и чувствительности (усиления) сигнала: это базовое требование для работы с нестандартными патологиями. При слишком слабом сигнале (микровольтаж у тучных объектов исследования) требуется увеличить чувствительность, чтобы разглядеть скрытые зубцы. Изменение развертки (скорости до 50 или 100 мм/с) необходимо для «растягивания» ЭКГ-кривой на экране при высокой частоте сердечных сокращений 2026-31658 6 (тахикардии), что позволяет детально изучить структуру комплекса QRST.</w:t>
      </w:r>
    </w:p>
    <w:p>
      <w:r>
        <w:t>Представитель Заказчика также пояснил, что при формировании извещения</w:t>
      </w:r>
    </w:p>
    <w:p>
      <w:r>
        <w:t>Заказчик рассматривал позицию КТРУ 26.60.12.111-00000024, при этом данная позиция не соответствует по характеристике «Количество отведений ЭКГ (включая расчетные): ≥ 12», поскольку в позиции КТРУ 26.60.12.111-00000024 установлено значение для данной характеристики: 12.</w:t>
      </w:r>
    </w:p>
    <w:p>
      <w:r>
        <w:t>Также представитель Заказчика добавил, что все имеющиеся позиции КТРУ распространяются на медицинские изделия, при этом Заказчиком закупается не медицинское изделие.</w:t>
      </w:r>
    </w:p>
    <w:p>
      <w:r>
        <w:t>Вместе с тем Комиссией Управления установлено, что в описании объекта закупки Заказчиком установлена характеристика «Регистрационное удостоверение:</w:t>
      </w:r>
    </w:p>
    <w:p>
      <w:r>
        <w:t>Наличие», в следствии чего презюмируется, что Заказчиком закупается медицинское изделие, что, в свою очередь, не согласуется с пояснениями Заказчика.</w:t>
      </w:r>
    </w:p>
    <w:p>
      <w:r>
        <w:t>На заседании представитель Заказчика пояснил, что данное требование установлено ошибочно.</w:t>
      </w:r>
    </w:p>
    <w:p>
      <w:r>
        <w:t>Также Комиссией Управления установлено, что в описании объекта закупки установлена характеристика «Количество отведений ЭКГ (включая расчетные): ≥ 12», при этом в позиции КТРУ значение для данной характеристики: 12, что входит в необходимый Заказчику диапазон, ввиду чего позиция КТРУ 26.60.12.111-00000024 не противоречит требованиям описания объекта закупки.</w:t>
      </w:r>
    </w:p>
    <w:p>
      <w:r>
        <w:t>Вместе с тем Комиссия Управления отмечает, что отсутствие в позиции</w:t>
      </w:r>
    </w:p>
    <w:p>
      <w:r>
        <w:t>КТРУ необходимых Заказчику требований к характеристикам изделия, при соответствии самого объекта закупки предусмотренным КТРУ позициям, не свидетельствует о несоответствии такой позиции КТРУ закупаемому изделию и возможности формирования описания объекта закупки без учета обязательных</w:t>
      </w:r>
    </w:p>
    <w:p>
      <w:r>
        <w:t>для заказчика требований, указанных в Правилах использования КТРУ .</w:t>
      </w:r>
    </w:p>
    <w:p>
      <w:r>
        <w:t>Так, согласно п.4 Правил использования КТРУ , Заказчики обязаны использовать сведения указанные в позиции КТРУ при формировании описания объекта закупки, при условии, что в КТРУ имеется позиция, соответствующая закупаемому изделию, как в случае для закупаемого Заказчиком товара имеется соответствующая позиция КТРУ .</w:t>
      </w:r>
    </w:p>
    <w:p>
      <w:pPr>
        <w:pStyle w:val="Heading2"/>
      </w:pPr>
      <w:r>
        <w:t>мотивировочная часть</w:t>
      </w:r>
    </w:p>
    <w:p>
      <w:r>
        <w:t>Исходя из вышеизложенного, Комиссия Управления приходит к выводу о нарушении Заказчиком ч.6 ст.23 Закона о контрактной системе, что также свидетельствует о наличии в действиях Заказчика признаков состава административного правонарушения, ответственность за которое предусмотрена ч.5 ст.7.30.1 Кодекса Российской Федерации об административных правонарушениях.</w:t>
      </w:r>
    </w:p>
    <w:p>
      <w:r>
        <w:t>Исследовав представленные материалы, руководствуясь Законом о контрактной системе, Комиссия Управления 2026-31658 7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1.Признать жалобу ООО «Юурцс» на действия ФГБНУ «ФИЦ оригинальных и перспективных биомедицинских и фармацевтических технологий» обоснованной.</w:t>
      </w:r>
    </w:p>
    <w:p>
      <w:r>
        <w:t>2. Признать в действиях Заказчика нарушения ч.6 ст.23 Закона о контрактной системе.</w:t>
      </w:r>
    </w:p>
    <w:p>
      <w:r>
        <w:t>3. Выдать Заказчику обязательное для исполнения предписание об устранении нарушений законодательства о контрактной системе.</w:t>
      </w:r>
    </w:p>
    <w:p>
      <w:r>
        <w:t>4. Передать материалы дела соответствующему должностному лицу</w:t>
      </w:r>
    </w:p>
    <w:p>
      <w:r>
        <w:t>Московского УФАС России для рассмотрения вопроса о возбуждении дела об административном правонарушении.</w:t>
      </w:r>
    </w:p>
    <w:p>
      <w:r>
        <w:t>Решение может быть обжаловано в судебном порядке в Арбитражном суде г. Москвы в течение 3 (трех) месяцев с даты его принятия в порядке, установленном гл. 24 АПК РФ.</w:t>
      </w:r>
    </w:p>
    <w:p>
      <w:r>
        <w:t>Председательствующий Е.Д. Мартьянова</w:t>
      </w:r>
    </w:p>
    <w:p>
      <w:r>
        <w:t>Члены комиссии:</w:t>
      </w:r>
    </w:p>
    <w:p>
      <w:r>
        <w:t>А.А. Леонова</w:t>
      </w:r>
    </w:p>
    <w:p>
      <w:r>
        <w:t>А.С. Гелмутдинова</w:t>
      </w:r>
    </w:p>
    <w:p>
      <w:r>
        <w:t>Исп.Леонова А.А.</w:t>
      </w:r>
    </w:p>
    <w:p>
      <w:r>
        <w:t>тел.(495) 784-75-05 2026-31658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ФГБНУ «ФИЦ оригинальных и перспективных биомедицинских и фармацевтических технологий» torgi@academpharm.ru</w:t>
      </w:r>
    </w:p>
    <w:p>
      <w:r>
        <w:t>ООО «Юурцс» info@yurcs.ru</w:t>
      </w:r>
    </w:p>
    <w:p>
      <w:r>
        <w:t>АО «Сбербанк-АСТ» ko@sberbank-ast.ru</w:t>
      </w:r>
    </w:p>
    <w:p>
      <w:r>
        <w:t>ПРЕДПИСАНИЕ по делу № 077/06/105-8144/2026 об устранении нарушений законодательства о контрактной системе 17.06.2026 г. Москва</w:t>
      </w:r>
    </w:p>
    <w:p>
      <w:r>
        <w:t>Комиссия по контролю в сфере закупок товаров, работ, услуг Управления</w:t>
      </w:r>
    </w:p>
    <w:p>
      <w:r>
        <w:t>Федеральной антимонопольной службы по г. Москве (далее – Комиссия</w:t>
      </w:r>
    </w:p>
    <w:p>
      <w:r>
        <w:t>Управления) в составе:</w:t>
      </w:r>
    </w:p>
    <w:p>
      <w:r>
        <w:t>Председательствующего – главного специалиста отдела обжалования государственных закупок Е.Д. Мартьяновой,</w:t>
      </w:r>
    </w:p>
    <w:p>
      <w:r>
        <w:t>Члены Комиссии:</w:t>
      </w:r>
    </w:p>
    <w:p>
      <w:r>
        <w:t>Ведущего специалиста-эксперта отдела обжалования государственных закупок</w:t>
      </w:r>
    </w:p>
    <w:p>
      <w:r>
        <w:t>А.А. Леоновой,</w:t>
      </w:r>
    </w:p>
    <w:p>
      <w:r>
        <w:t>Специалиста-эксперта отдела обжалования государственных закупок</w:t>
      </w:r>
    </w:p>
    <w:p>
      <w:r>
        <w:t>А.С. Гелмутдиновой , на основании решения Комиссии Управления от 17.06.2026 по делу</w:t>
      </w:r>
    </w:p>
    <w:p>
      <w:r>
        <w:t>№ 077/06/105-8144/2026 , по итогам рассмотрения жалобы ООО «Триумф» (далее —</w:t>
      </w:r>
    </w:p>
    <w:p>
      <w:r>
        <w:t>Заявитель) на действия ГБУЗ «КДП №121 ДЗМ» (далее — Заказчик) при проведении запроса котировок в электронной форме на право заключения государственного контракта на поставку электрокардиографа (Закупка</w:t>
      </w:r>
    </w:p>
    <w:p>
      <w:r>
        <w:t>№ 0373100078826000101) (далее — запрос котировок, закупка), в соответствии с</w:t>
      </w:r>
    </w:p>
    <w:p>
      <w:r>
        <w:t>Федеральным законом от 05.04.2013 №44-ФЗ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2026-31659 2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1.Заказчику, комиссии по осуществлению закупок Заказчика отменить протокол подведения итогов определения поставщика (подрядчика, исполнителя) .</w:t>
      </w:r>
    </w:p>
    <w:p>
      <w:r>
        <w:t>2.Заказчику:</w:t>
      </w:r>
    </w:p>
    <w:p>
      <w:r>
        <w:t>-привести извещение о запросе котировок в соответствие с требованиями</w:t>
      </w:r>
    </w:p>
    <w:p>
      <w:r>
        <w:t>Закона о контрактной системе и с учетом решения от 17.06.2026 по делу</w:t>
      </w:r>
    </w:p>
    <w:p>
      <w:r>
        <w:t>№ 077/06/105-8144/2026 и разместить соответствующее извещение в единой информационной системе ;</w:t>
      </w:r>
    </w:p>
    <w:p>
      <w:r>
        <w:t>-назначить новую дату окончания срока подачи заявок на участие в закупке, дату подведения итогов определения поставщика (подрядчика, исполнителя), а также разместить указанные сведения в единой информационной системе в сфере закупок. При этом дата окончания срока подачи заявок на участие в закупке должна быть назначена в соответствии с ч.4 ст.42 Закона о контрактной системе.</w:t>
      </w:r>
    </w:p>
    <w:p>
      <w:r>
        <w:t>3.Оператору электронной площадки обеспечить возможность Заказчику, комиссии по осуществлению закупок исполнения пунктов 1, 2 настоящего предписания.</w:t>
      </w:r>
    </w:p>
    <w:p>
      <w:r>
        <w:t>4.Заказчику, комиссии по осуществлению закупок Заказчика, Оператору электронной площадки осуществить дальнейшее проведение процедуры закупки в соответствии с требованиями законодательства Российской Федерации о контрактной системе и с учетом решения Московского УФАС России от 17.06.2026</w:t>
      </w:r>
    </w:p>
    <w:p>
      <w:r>
        <w:t>по делу № 077/06/105-8144/2026 .</w:t>
      </w:r>
    </w:p>
    <w:p>
      <w:r>
        <w:t>5.Заказчику, комиссии по осуществлению закупок Заказчика в срок до 17.07.2026 представить в Московское УФАС России подтверждение исполнения настоящего п редписания в письменном виде или по факсимильной связи (8(495) 607-42-92) или электронной почте по адре су: to77@fas.gov.ru .</w:t>
      </w:r>
    </w:p>
    <w:p>
      <w:r>
        <w:t>Невыполнение должностным лицом заказчика, должностным лицом уполномоченного органа, должностным лицом уполномоченного учреждения,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закупок, за исключением органа, указанного в ч. 7.1 ст. 19.5 Кодекса Российской Федерации об административных правонарушениях влечет наложение административного штрафа на должностных лиц в размере пятидесяти тысяч рублей; на юридических лицпятисот тысяч рублей в соответствии с ч.7 ст.19.5 Кодекса Российской Федерации об административных правонарушениях.</w:t>
      </w:r>
    </w:p>
    <w:p>
      <w:r>
        <w:t>2026-31659 3</w:t>
      </w:r>
    </w:p>
    <w:p>
      <w:r>
        <w:t>Настоящее предписание от 17.06.2026 по делу № 077/06/105-8144/2026 может быть обжаловано в судебном порядке в Арбитражном суде г. Москвы в течение 3 (трех) месяцев с даты его принятия в порядке, установленным главой 24 Арбитражного процессуального кодекса Российской Федерации.</w:t>
      </w:r>
    </w:p>
    <w:p>
      <w:r>
        <w:t>Председательствующий Е.Д. Мартьянова</w:t>
      </w:r>
    </w:p>
    <w:p>
      <w:r>
        <w:t>Члены комиссии:</w:t>
      </w:r>
    </w:p>
    <w:p>
      <w:r>
        <w:t>А.А. Леонова</w:t>
      </w:r>
    </w:p>
    <w:p>
      <w:r>
        <w:t>А.С. Гелмутдинова</w:t>
      </w:r>
    </w:p>
    <w:p>
      <w:r>
        <w:t>Исп.Леонова А.А.</w:t>
      </w:r>
    </w:p>
    <w:p>
      <w:r>
        <w:t>тел.(495) 784-75-05 2026-31659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