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202600187298005582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29.07.2026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0348500005026000023</w:t>
      </w:r>
    </w:p>
    <w:p>
      <w:r>
        <w:rPr>
          <w:b/>
        </w:rPr>
        <w:t xml:space="preserve">Заказчик: </w:t>
      </w:r>
      <w:r>
        <w:t>Филиал государственного бюджетного учреждения здравоохранения Московской области «Детский научно-клинический центр имени Л.М.Рошаля» - клинико-диагностический центр «Ромашково»</w:t>
      </w:r>
    </w:p>
    <w:p>
      <w:r>
        <w:rPr>
          <w:b/>
        </w:rPr>
        <w:t xml:space="preserve">Заявитель: </w:t>
      </w:r>
      <w:r>
        <w:t>ООО «СИБМК»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https://zakupki.gov.ru/epz/complaint/card/complaint-information.html?complaintNumber=202600187298005582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Филиал государственного бюджетного учреждения здравоохранения Московской области «Детский научно-клинический центр имени Л.М. Рошаля» - Клинико-диагностический центр «Ромашково»</w:t>
      </w:r>
    </w:p>
    <w:p>
      <w:r>
        <w:t>dkc-ls@yandex.ru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«СИМБК»</w:t>
      </w:r>
    </w:p>
    <w:p>
      <w:r>
        <w:t>gspavel@mail.ru</w:t>
      </w:r>
    </w:p>
    <w:p>
      <w:r>
        <w:t>РЕШЕНИЕ</w:t>
      </w:r>
    </w:p>
    <w:p>
      <w:r>
        <w:t>по делу № 050/06/105-26721/2026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29.07.2026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Комиссия),</w:t>
      </w:r>
    </w:p>
    <w:p>
      <w:pPr>
        <w:pStyle w:val="Heading2"/>
      </w:pPr>
      <w:r>
        <w:t>описательная часть</w:t>
      </w:r>
    </w:p>
    <w:p>
      <w:r>
        <w:t>рассмотрев жалобу ООО «СИМБК» (далее – Заявитель) на действия (бездействие) Филиала государственного бюджетного учреждения здравоохранения Московской области «Детский научно-клинический центр имени Л.М. Рошаля» - Клинико-диагностический центр «Ромашково» (далее – Заказчик) при определении поставщика (подрядчика, исполнителя) путем проведения ООО «РТС-тендер» (далее – Оператор электронной площадки) запроса котировок в электронной форме на поставку изделий медицинского назначения (набор ангиографический) для филиала ГБУЗ Московской области «ДНКЦ им. Л.М. Рошаля» - КДЦ «Ромашково» на 2026 г. (извещение № 0348500005026000023 на официальном сайте Единой информационной системы в сфере закупок – www.zakupki.gov.ru) (далее – Официальный сайт) (далее – Запрос котировок)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r>
        <w:t>УСТАНОВИЛА:</w:t>
      </w:r>
    </w:p>
    <w:p>
      <w:r>
        <w:t>В Управление поступила жалоба Заявителя на действия Заказчика при проведении Заказчиком, Оператором электронной площадки Запроса котировок.</w:t>
      </w:r>
    </w:p>
    <w:p>
      <w:r>
        <w:t>По мнению Заявителя его права и законные интересы нарушены действиями Заказчика, ненадлежащим образом установившего положения извещения о проведении Запроса котировок.</w:t>
      </w:r>
    </w:p>
    <w:p>
      <w:r>
        <w:t>В соответствии с извещением о проведении Запроса котировок, протоколами, составленными при определении поставщика (подрядчика, исполнителя):</w:t>
      </w:r>
    </w:p>
    <w:p>
      <w:r>
        <w:t>1) извещение размещено на Официальном сайте – 17.07.2026;</w:t>
      </w:r>
    </w:p>
    <w:p>
      <w:r>
        <w:t>2) начальная (максимальная) цена контракта – 1 772 988,80 руб.;</w:t>
      </w:r>
    </w:p>
    <w:p>
      <w:r>
        <w:t>3) дата окончания подачи заявок – 24.07.2026.</w:t>
      </w:r>
    </w:p>
    <w:p>
      <w:r>
        <w:t>1. Согласно доводу жалобы Заявителя, Заказчиком в нарушение требований Закона о контрактной системе неправомерно выбран код Каталога товаров, работ, услуг для обеспечения государственных и муниципальных нужд (далее – КТРУ) и, как следствие, Заказчиком неправомерно объединены в один лот медицинские изделия различных видов в соответствии с номенклатурной классификацией медицинских изделий по видам, утвержденной Министерством здравоохранения Российской Федерации.</w:t>
      </w:r>
    </w:p>
    <w:p>
      <w:r>
        <w:t>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"или эквивалент"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о наименовании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Согласно части 5 статьи 23 Закона о контрактной системе формирование и ведение в единой информационной системе каталога товаров, работ, услуг для обеспечения государственных и муниципальных нужд обеспечиваются федеральным органом исполнительной власти по регулированию контрактной системы в сфере закупок.</w:t>
      </w:r>
    </w:p>
    <w:p>
      <w:r>
        <w:t>В соответствии с частью 6 статьи 23 Закона о контрактной системе Порядок формирования и ведения в единой информационной системе каталога товаров, работ, услуг для обеспечения государственных и муниципальных нужд, а также правила использования указанного каталога устанавливаются Правительством Российской Федерации.</w:t>
      </w:r>
    </w:p>
    <w:p>
      <w:r>
        <w:t>Согласно пункту 4 Постановления Правительства Российской Федерации от 08.02.2017 № 145 «Об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нужд» (далее - Правила) применять информацию, включенную в позицию каталога в соответствии с подпунктами «а» - «г» и «е» – «з» пункта 10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нужд, утвержденных Правилами», с указанной в ней даты начала обязательного применения. При этом заказчик обязан при осуществлении закупки использовать информацию, включенную в соответствующую позицию, в том числе указывать согласно такой позиции следующую информацию:</w:t>
      </w:r>
    </w:p>
    <w:p>
      <w:r>
        <w:t>а) наименование товара, работы, услуги;</w:t>
      </w:r>
    </w:p>
    <w:p>
      <w:r>
        <w:t>б) единицы измерения количества товара, объема выполняемой работы, оказываемой услуги (при наличии);</w:t>
      </w:r>
    </w:p>
    <w:p>
      <w:r>
        <w:t>в) описание товара, работы, услуги (при наличии такого описания в позиции).</w:t>
      </w:r>
    </w:p>
    <w:p>
      <w:r>
        <w:t>Пунктом 5 Правил установлено, что Заказчик вправе указать в извещении об осуществлении закупки, приглашении и документации о закупке (в случае если Федеральным законом предусмотрена документация о закупке) дополнительную информацию, а также дополнительные потребительские свойства, в том числе функциональные, технические, качественные, эксплуатационные характеристики товара, работы, услуги в соответствии с положениями статьи 33 Федерального закона, которые не предусмотрены в позиции каталога, за исключением случаев:</w:t>
      </w:r>
    </w:p>
    <w:p>
      <w:r>
        <w:t>а) если при осуществлении закупки товара (в том числе поставляемого при выполнении закупаемых работ, оказании закупаемых услуг), указанного в позициях 25, 26 и 32 приложения № 1 к постановлению Правительства Российской Федерации от 23 декабря 2024 г. №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лиц", позициях 191 - 361 приложения № 2 к указанному постановлению, применяются предусмотренные пунктом 1 указанного постановления запрет, ограничение соответственно;</w:t>
      </w:r>
    </w:p>
    <w:p>
      <w:r>
        <w:t>б) если иное не предусмотрено особенностями описания отдельных видов объектов закупок, устанавливаемыми Правительством Российской Федерации в соответствии с частью 5 статьи 33 Федерального закона.</w:t>
      </w:r>
    </w:p>
    <w:p>
      <w:r>
        <w:t>В соответствии с пунктом 6 Правил в случае предоставления дополнительной информации, предусмотренной пунктом 5 настоящих Правил, заказчик обязан включить в описание товара, работы, услуги обоснование необходимости использования такой информации (при наличии описания товара, работы, услуги в позиции каталога).</w:t>
      </w:r>
    </w:p>
    <w:p>
      <w:r>
        <w:t>Пунктом 7 Правил использования каталога установлено, что в случае осуществления закупки товара, работы, услуги, в отношении которых в каталоге отсутствуют соответствующие позиции, заказчик осуществляет описание товара, работы, услуги в соответствии с требованиями статьи 33 Закона о контрактной системе. При проведении предусмотренных Законом о контрактной системе электронных процедур, закрытых электронных процедур характеристики объекта закупки, предусмотренные пунктом 1 части 1 статьи 33 Закона о контрактной системе, указываются с использованием единой информационной системы при формировании извещения об осуществлении закупки, приглашения принять участие в определении поставщика (подрядчика, исполнителя) в соответствии с частью 1 статьи 42, пунктом 1 части 1 статьи 75 Закона о контрактной системе соответственно.</w:t>
      </w:r>
    </w:p>
    <w:p>
      <w:r>
        <w:t>Согласно пункту 1 Постановления Правительства от 19.04.2021 № 620 «О требовании к формированию лотов при осуществлении закупок медицинских изделий, являющихся объектом закупки для обеспечения государственных и муниципальных нужд» (далее – Постановление № 620) установлено, что при осуществлении закупок медицинских изделий не могут быть предметом одного контракта (одного лота) медицинские изделия различных видов в соответствии с номенклатурной классификацией медицинских изделий по видам, утвержденной Министерством здравоохранения Российской Федерации, при условии, что значение начальной (максимальной) цены контракта (цены лота) превышает:</w:t>
      </w:r>
    </w:p>
    <w:p>
      <w:r>
        <w:t>600 тыс. рублей - для заказчиков, у которых объем денежных средств, направленных на закупку медицинских изделий в предшествующем году, составил менее 50 млн. рублей;</w:t>
      </w:r>
    </w:p>
    <w:p>
      <w:r>
        <w:t>1 млн. рублей - для заказчиков, у которых объем денежных средств, направленных на закупку медицинских изделий в предшествующем году, составил от 50 млн. рублей до 100 млн. рублей;</w:t>
      </w:r>
    </w:p>
    <w:p>
      <w:r>
        <w:t>1,5 млн. рублей - для заказчиков, у которых объем денежных средств, направленных на закупку медицинских изделий в предшествующем году, составил более 100 млн. рублей.</w:t>
      </w:r>
    </w:p>
    <w:p>
      <w:r>
        <w:t>Согласно извещению о проведении Запроса котировок, объектом закупки является поставка изделий медицинского назначения (набор ангиографический) для филиала ГБУЗ Московской области «ДНКЦ им. Л.М. Рошаля» - КДЦ "Ромашково" на 2026 г. с начальной (максимальной) ценой 1 772 988,80 рублей.</w:t>
      </w:r>
    </w:p>
    <w:p>
      <w:r>
        <w:t>Заказчиком в структурированной форме извещения о проведении Запроса котировок в отношении поставляемых товаров установлен код позиции КТРУ 32.50.50.190-00001378 «Набор ангиографический».</w:t>
      </w:r>
    </w:p>
    <w:p>
      <w:r>
        <w:t>Вместе с тем, Заказчиком в извещении о проведении Запроса котировок установлены требования к техническим характеристикам товара по позиции 2, в том числе следующие: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Длина трубки соединительной</w:t>
            </w:r>
          </w:p>
        </w:tc>
        <w:tc>
          <w:tcPr>
            <w:tcW w:type="dxa" w:w="4320"/>
          </w:tcPr>
          <w:p>
            <w:r>
              <w:t>≥105≤ 150</w:t>
            </w:r>
          </w:p>
        </w:tc>
      </w:tr>
      <w:tr>
        <w:tc>
          <w:tcPr>
            <w:tcW w:type="dxa" w:w="4320"/>
          </w:tcPr>
          <w:p>
            <w:r>
              <w:t>Внутренний диаметр соединительной трубки</w:t>
            </w:r>
          </w:p>
        </w:tc>
        <w:tc>
          <w:tcPr>
            <w:tcW w:type="dxa" w:w="4320"/>
          </w:tcPr>
          <w:p>
            <w:r>
              <w:t>≥1.5</w:t>
            </w:r>
          </w:p>
        </w:tc>
      </w:tr>
      <w:tr>
        <w:tc>
          <w:tcPr>
            <w:tcW w:type="dxa" w:w="4320"/>
          </w:tcPr>
          <w:p>
            <w:r>
              <w:t>Материал изготовления не содержит латекс</w:t>
            </w:r>
          </w:p>
        </w:tc>
        <w:tc>
          <w:tcPr>
            <w:tcW w:type="dxa" w:w="4320"/>
          </w:tcPr>
          <w:p>
            <w:r>
              <w:t>Соответствие</w:t>
            </w:r>
          </w:p>
        </w:tc>
      </w:tr>
      <w:tr>
        <w:tc>
          <w:tcPr>
            <w:tcW w:type="dxa" w:w="4320"/>
          </w:tcPr>
          <w:p>
            <w:r>
              <w:t>Интегрированный переходник-коннектор Y-типа, разделяющий соединительную трубку на 2 канала</w:t>
            </w:r>
          </w:p>
        </w:tc>
        <w:tc>
          <w:tcPr>
            <w:tcW w:type="dxa" w:w="4320"/>
          </w:tcPr>
          <w:p>
            <w:r>
              <w:t>Соответствие</w:t>
            </w:r>
          </w:p>
        </w:tc>
      </w:tr>
      <w:tr>
        <w:tc>
          <w:tcPr>
            <w:tcW w:type="dxa" w:w="4320"/>
          </w:tcPr>
          <w:p>
            <w:r>
              <w:t>Клапан обратного хода на Y-коннекторе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Полная совместимость и разрешение к применению с системами производства NEMOTO, подтвержденная при регистрации ИМН из регистрационного досье о возможности совместного применения (Постановление Правительства РФ от 30.11.2024 №1684)</w:t>
            </w:r>
          </w:p>
        </w:tc>
        <w:tc>
          <w:tcPr>
            <w:tcW w:type="dxa" w:w="4320"/>
          </w:tcPr>
          <w:p>
            <w:r>
              <w:t>Соответствие</w:t>
            </w:r>
          </w:p>
        </w:tc>
      </w:tr>
      <w:tr>
        <w:tc>
          <w:tcPr>
            <w:tcW w:type="dxa" w:w="4320"/>
          </w:tcPr>
          <w:p>
            <w:r>
              <w:t>Защитные колпачки Luer на концах соединительной трубки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Максимальное предельное давление составных частей набора (шприц, трубка соединительная),Килопаскаль</w:t>
            </w:r>
          </w:p>
        </w:tc>
        <w:tc>
          <w:tcPr>
            <w:tcW w:type="dxa" w:w="4320"/>
          </w:tcPr>
          <w:p>
            <w:r>
              <w:t>≥2000</w:t>
            </w:r>
          </w:p>
        </w:tc>
      </w:tr>
      <w:tr>
        <w:tc>
          <w:tcPr>
            <w:tcW w:type="dxa" w:w="4320"/>
          </w:tcPr>
          <w:p>
            <w:r>
              <w:t>Индивидуальная упаковка стерильная, фабричная стерилизация</w:t>
            </w:r>
          </w:p>
        </w:tc>
        <w:tc>
          <w:tcPr>
            <w:tcW w:type="dxa" w:w="4320"/>
          </w:tcPr>
          <w:p>
            <w:r>
              <w:t>Соответствие</w:t>
            </w:r>
          </w:p>
        </w:tc>
      </w:tr>
      <w:tr>
        <w:tc>
          <w:tcPr>
            <w:tcW w:type="dxa" w:w="4320"/>
          </w:tcPr>
          <w:p>
            <w:r>
              <w:t>Остаточный срок годности на момент поставки</w:t>
            </w:r>
          </w:p>
        </w:tc>
        <w:tc>
          <w:tcPr>
            <w:tcW w:type="dxa" w:w="4320"/>
          </w:tcPr>
          <w:p>
            <w:r>
              <w:t>≥12</w:t>
            </w:r>
          </w:p>
        </w:tc>
      </w:tr>
    </w:tbl>
    <w:p>
      <w:r>
        <w:t>По мнению Заявителя, Заказчиком объединены в один лот три разных медицинских изделия, относящиеся к коду КТРУ – 32.50.50.190-00001378 «Набор ангиографический» и коду КТРУ – 32.50.13.110-00005820 «Магистраль соединительная для введения рентгеноконтрастного вещества».</w:t>
      </w:r>
    </w:p>
    <w:p>
      <w:r>
        <w:t>На заседании Комиссии установлено, что согласно сведениям, размещенным на Официальном сайте, в КТРУ имеются позиции:</w:t>
      </w:r>
    </w:p>
    <w:p>
      <w:r>
        <w:t>1) 32.50.50.190-00001378 «Набор ангиографический», с обязательной датой применения 01.07.2019, содержащая следующее описание: «Набор стерильных изделий и оборудования, используемый для подготовки пациента к проведению рентгеновской визуализации артерий конкретной системы органов или части тела путем введения в сосуд рентгеноконтрастного средства. Как правило, включает комбинацию изделий для введения жидкости/рентгеноконтрастных средств (например, трубки, манифольд, задвижки и шприцы); катетер для ангиографии в набор не входит. Это изделие для одноразового использования с код медицинского изделия 238640: «Набор ангиографический»;</w:t>
      </w:r>
    </w:p>
    <w:p>
      <w:r>
        <w:t>2) 32.50.13.110-00005820 «Магистраль соединительная для введения рентгеноконтрастного вещества», соответствующая наименованию закупаемого оборудования, с обязательной датой применения 01.11.2025, содержащая следующее описание: «Гибкое цилиндрическое изделие, которое обычно соединяет шприц с контрастным веществом с канюлей пациента для введения контрастного вещества и промывающей жидкости пациенту во время диагностических радиографических процедур [например, ангиографии или компьютерной томографии (КТ)]. Изделие изготавливается из синтетических полимеров, выдерживает низкое и высокое давление и выпускается разной длины с устройствами для быстрого соединения (например, замком Луера)» с код медицинского изделия 238670 «Магистраль соединительная для введения рентгеноконтрастного вещества»</w:t>
      </w:r>
    </w:p>
    <w:p>
      <w:r>
        <w:t>Изучив извещение о проведении Запроса котировок, Комиссией установлено, что согласно сведениям, размещенным на Официальном сайте, в КТРУ имеются позиции, соответствующие закупаемому оборудованию в том числе КТРУ 32.50.50.190-00001378 с код медицинского изделия 238640: «Набор ангиографический»; и 32.50.13.110-00005820 с код медицинского изделия 238670 «Магистраль соединительная для введения рентгеноконтрастного вещества».</w:t>
      </w:r>
    </w:p>
    <w:p>
      <w:pPr>
        <w:pStyle w:val="Heading2"/>
      </w:pPr>
      <w:r>
        <w:t>мотивировочная часть</w:t>
      </w:r>
    </w:p>
    <w:p>
      <w:r>
        <w:t>Таким образом, изучив документы и сведения, Комиссия приходит к выводу, что Заказчиком в извещении о проведении Запроса котировок ненадлежащим образом выбран код КТРУ, не соответствующий закупаемому оборудованию, что противоречит правилам и требованиям Закона о контрактной системе.</w:t>
      </w:r>
    </w:p>
    <w:p>
      <w:r>
        <w:t>Вместе с тем, представитель Заказчика на заседании Комиссии не предоставил документов и сведений, однозначно свидетельствующих об обратном.</w:t>
      </w:r>
    </w:p>
    <w:p>
      <w:r>
        <w:t>При этом, Комиссия отмечает, что требования извещения о проведении Запроса котировок по показателю «Совместимость» не является технической, качественной и функциональной характеристикой товара, в связи с чем, установление Заказчиком указанных требований к товарам является неправомерным.</w:t>
      </w:r>
    </w:p>
    <w:p>
      <w:r>
        <w:t>Таким образом, действия Заказчика в части установления технических характеристик поставляемого товара подобным образом противоречат требованиям Закона о контрактной системе.</w:t>
      </w:r>
    </w:p>
    <w:p>
      <w:r>
        <w:t>На основании изложенного Комиссия приходит к выводу, что действия Заказчика нарушают пункт 5 части 1 статьи 42 Закона о контрактной системе и содержат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С учетом допущенных нарушений при составлении описания объекта закупки, а именно ненадлежащим образом выбранного кода КТРУ, Комиссия приходит к выводу, что Заказчиком в нарушение требований Постановления № 620 и Закона о контрактной системе объединены в один лот товары с разными кодами номенклатурной классификации медицинских изделий, что противоречит требования Закона о контрактной системе.</w:t>
      </w:r>
    </w:p>
    <w:p>
      <w:r>
        <w:t>Вместе с тем, представитель Заказчика на заседании Комиссии не предоставил документов и сведений, однозначно свидетельствующих об обратном.</w:t>
      </w:r>
    </w:p>
    <w:p>
      <w:r>
        <w:t>Следовательно, довод жалобы Заявителя является обоснованным.</w:t>
      </w:r>
    </w:p>
    <w:p>
      <w:r>
        <w:t>На основании изложенного Комиссия приходит к выводу, что действия Заказчика нарушают пункт 1 части 2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Вместе с тем, представитель Заказчика на заседании Комиссии не предоставил документов и сведений, однозначно свидетельствующих об обратном.</w:t>
      </w:r>
    </w:p>
    <w:p>
      <w:r>
        <w:t>Следовательно, довод жалобы Заявителя является обоснованным.</w:t>
      </w:r>
    </w:p>
    <w:p>
      <w:r>
        <w:t>2. Согласно доводу жалобы Заявителя, Заказчиком в извещении о проведении Запроса котировок неправомерно объединены в один лот несколько групп изделий, совокупности требований к каждой из которых соответствуют изделия конкретного производителя, что ограничивает круг участников закупки.</w:t>
      </w:r>
    </w:p>
    <w:p>
      <w:r>
        <w:t>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"или эквивалент"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о наименовании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Согласно извещению о проведении Запроса котировок, объектом закупки является поставка изделий медицинского назначения (набор ангиографический) для филиала ГБУЗ Московской области «ДНКЦ им. Л.М. Рошаля» - КДЦ "Ромашково" на 2026 г. с начальной (максимальной) ценой 1 772 988,80 рублей.</w:t>
      </w:r>
    </w:p>
    <w:p>
      <w:r>
        <w:t>По мнению Заявителя, Заказчиком неправомерно объединены в один лот три разных медицинских изделия, а именно: набор ангиографический к системе инъекционной MEDRAD Spectris Solaris EP, набор ангиографический к системе инъекционной Nemoto и магистрали соединительные для систем Nemoto.</w:t>
      </w:r>
    </w:p>
    <w:p>
      <w:r>
        <w:t>В извещении о проведении Запроса котировок Заказчиком установлены технические характеристики товаров, в том числе следующие:</w:t>
      </w:r>
    </w:p>
    <w:p>
      <w:r>
        <w:t>- для товара по позиции 1 с кодом КТРУ – 32.50.50.190-00001378 «Набор ангиографический» по показателю «Шприцы торговой марки MEDRAD/BAYER для рентгеноконтрастных/магнитоконтрастных веществ и физиологического раствора к устройствам для внутривенного введения в наборах c указанием фирменного наименования/идентификатора SSQK 65/115vs* производства Bayer Medical Care Inc. США*. На основании технической и эксплуатационной документации на оборудование, согласно руководству по эксплуатации системы для ввода контрастного вещества ТМ MEDRAD Spectris Solaris EP*, имеющейся у Заказчика, раздел «Предупреждения», предписано для обеспечения надлежащей работы использовать исключительно принадлежности и дополнительное оборудование производства компании Bayer и специально разработанные для настоящего иъектора. Требуемый шприц указан в наборе в Приложении D «Дополнительное оборудование и принадлежности», с идентификатором SSQK 65/115vs» установлено значение «Соответствие»;</w:t>
      </w:r>
    </w:p>
    <w:p>
      <w:r>
        <w:t>- для товара по позиции 2 с кодом КТРУ – 32.50.13.110-00005820 «Магистраль соединительная для введения рентгеноконтрастного вещества» по показателю «Полная совместимость и разрешение к применению с системами производства NEMOTO, подтвержденная при регистрации ИМН из регистрационного досье о возможности совместного применения (Постановление Правительства РФ от 30.11.2024 №1684)» установлено значение «Соответствие»;</w:t>
      </w:r>
    </w:p>
    <w:p>
      <w:r>
        <w:t>- для товара по позиции 3 с кодом КТРУ – 32.50.50.190-00001378 «Набор ангиографический» по показателю «Полная совместимость и разрешение к применению с системами производства NEMOTO, подтвержденная при регистрации ИМН из регистрационного досье о возможности совместного применения (Постановление Правительства РФ от 30.11.2024 №1684)» установлено значение «Соответствие».</w:t>
      </w:r>
    </w:p>
    <w:p>
      <w:r>
        <w:t>Комиссия Управления отмечает, что если у Заказчика имеются определенные обоснованные потребности в получении тех или иных товаров, он вправе устанавливать соответствующие требования к товарам, но таким образом, чтобы такие требования не ограничивали количество участников закупки, и в составе одного лота одновременно не закупались различные группы товаров, соответствующие конкретным производителям, отсутствующие в свободном доступе, в том числе для приобретения которых необходимо заключать определенные договоры и соглашения с производителем оборудования.</w:t>
      </w:r>
    </w:p>
    <w:p>
      <w:r>
        <w:t>Комиссия Управления также отмечает, что в случае, если при закупке товаров среди требуемых к поставке позиций присутствует хотя бы один товар, требования к характеристикам которого установлены таким образом, что совокупности таких требований отвечает только товар единственного производителя, то положения извещения о такой закупке имеют признаки ограничения количества участников закупки, так как закупить и поставить уникальный товар имеет возможность только ограниченный круг лиц, имеющий с производителем такого товара партнерские отношения и/или иные договоры о сотрудничестве.</w:t>
      </w:r>
    </w:p>
    <w:p>
      <w:r>
        <w:t>На основании вышеизложенного, в случае невозможности участников закупки закупить и поставить требуемые Заказчику уникальные позиции наряду с иными товарами, указанная закупка будет проведена только для лиц, имеющих договорные отношения с определенным производителем товара, что непосредственно является ограничением круга потенциальных участников закупки, что напрямую запрещается нормами статьи 33 Закона о контрактной системе.</w:t>
      </w:r>
    </w:p>
    <w:p>
      <w:r>
        <w:t>Таким образом, Комиссия приходит к выводу, что действия Заказчика в части объединения в один несколько групп изделий, совокупности требований к каждой из которых соответствуют изделия конкретного производителя, ограничивают количество участников закупки и противоречат требованиям Закона о контрактной системе.</w:t>
      </w:r>
    </w:p>
    <w:p>
      <w:r>
        <w:t>На основании изложенного Комиссия приходит к выводу, что действия Заказчика нарушают пункт 1 части 2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Вместе с тем, представитель Заказчика на заседании Комиссии не предоставил документов и сведений, однозначно свидетельствующих об обратном.</w:t>
      </w:r>
    </w:p>
    <w:p>
      <w:r>
        <w:t>Следовательно, довод жалобы Заявителя является обоснованным.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1) Признать жалобу ООО «СИМБК» обоснованной.</w:t>
      </w:r>
    </w:p>
    <w:p>
      <w:r>
        <w:t>2) Признать в действиях Заказчика нарушения пункта 5 части 1 статьи 42, пункта 1 части 2 статьи 42 Закона о контрактной системе.</w:t>
      </w:r>
    </w:p>
    <w:p>
      <w:r>
        <w:t>3) Заказчику, Закупочной комиссии, Оператору электронной площадки выдать обязательное для исполнения предписание об устранении допущенных нарушений</w:t>
      </w:r>
    </w:p>
    <w:p>
      <w:r>
        <w:t>4) Передать материалы дела от 29.07.2026 № 050/06/105-26721/2026 по выявленным нарушениям Закона о контрактной системе передать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трех месяцев с даты принятия.</w:t>
      </w:r>
    </w:p>
    <w:p>
      <w:r>
        <w:t>10</w:t>
      </w:r>
    </w:p>
    <w:p>
      <w:r>
        <w:t>9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Филиал государственного бюджетного учреждения здравоохранения Московской области «Детский научно-клинический центр имени Л.М. Рошаля» - Клинико-диагностический центр «Ромашково»</w:t>
      </w:r>
    </w:p>
    <w:p>
      <w:r>
        <w:t>dkc-ls@yandex.ru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«СИМБК»</w:t>
      </w:r>
    </w:p>
    <w:p>
      <w:r>
        <w:t>gspavel@mail.ru</w:t>
      </w:r>
    </w:p>
    <w:p>
      <w:r>
        <w:t>ПРЕДПИСАНИЕ</w:t>
      </w:r>
    </w:p>
    <w:p>
      <w:r>
        <w:t>по делу № 050/06/105-26721/2026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29.07.2026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Комиссия),</w:t>
      </w:r>
    </w:p>
    <w:p>
      <w:r>
        <w:t>на основании решения от 29.07.2026 № 050/06/105-26721/2026, принятого Комиссией по итогам рассмотрения жалобы ООО «СИМБК» (далее – Заявитель) на действия (бездействие) Филиала государственного бюджетного учреждения здравоохранения Московской области «Детский научно-клинический центр имени Л.М. Рошаля» - Клинико-диагностический центр «Ромашково» (далее – Заказчик) при определении поставщика (подрядчика, исполнителя) путем проведения ООО «РТС-тендер» (далее – Оператор электронной площадки) запроса котировок в электронной форме на поставку изделий медицинского назначения (набор ангиографический) для филиала ГБУЗ Московской области «ДНКЦ им. Л.М. Рошаля» - КДЦ «Ромашково» на 2026 г. (извещение № 0348500005026000023 на официальном сайте Единой информационной системы в сфере закупок – www.zakupki.gov.ru (далее – Официальный сайт)) (далее – Запрос котировок)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Закупочной комиссии отменить Протоколы, составленные при осуществлении закупки;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- уведомить участников закупки, подавших заявки на участие в Запросе котировок, об отмене Протоколов, составленных при осуществлении закупок, о прекращении действия заявок, поданных на участие в Запросе котировок;</w:t>
      </w:r>
    </w:p>
    <w:p>
      <w:r>
        <w:t>- прекратить блокирование операций по счетам для проведения операций по обеспечению участия в Запросе котировок, открытых участникам закупки, подавшим заявки на участие в Запросе котировок, в отношении денежных средств в размере обеспечения заявки на участие в Запросе котировок.</w:t>
      </w:r>
    </w:p>
    <w:p>
      <w:r>
        <w:t>3. Заказчику аннулировать определение поставщика (подрядчика, исполнителя) путем проведения Оператором электронной площадки Запроса котировок (извещение № 0348100042426000023 на Официальном сайте), а также разместить на Официальном сайте информацию об аннулировании.</w:t>
      </w:r>
    </w:p>
    <w:p>
      <w:r>
        <w:t>4. Оператору электронной площадки обеспечить возможность исполнения пункта 1 настоящего предписания и не позднее 1 рабочего дня со дня исполнения пункта 1 настоящего предписания прекратить блокирование операций по счетам для проведения операций по обеспечению участия в Запросе котировок, открытых участникам закупки, подавшим заявки на участие в Запросе котировок, в отношении денежных средств в размере обеспечения заявки на участие в Запросе котировок.</w:t>
      </w:r>
    </w:p>
    <w:p>
      <w:r>
        <w:t>5. Заказчику, Оператору электронной площадки в срок до 12.08.2026 исполнить настоящее предписание и представить в Управление подтверждение исполнения настоящего предписания в письменном виде, а также по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